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6F49" w:rsidRDefault="00D96E63" w:rsidP="00B81A65">
      <w:pPr>
        <w:rPr>
          <w:b/>
          <w:sz w:val="32"/>
          <w:szCs w:val="32"/>
          <w:lang w:val="fr-FR"/>
        </w:rPr>
      </w:pPr>
      <w:r w:rsidRPr="00B81A65">
        <w:rPr>
          <w:b/>
          <w:sz w:val="32"/>
          <w:szCs w:val="32"/>
          <w:lang w:val="fr-FR"/>
        </w:rPr>
        <w:t>Closing Guantánamo Bay : The Triumph of Politics over Law ?</w:t>
      </w:r>
    </w:p>
    <w:p w:rsidR="00B81A65" w:rsidRPr="00B81A65" w:rsidRDefault="00B81A65" w:rsidP="00B81A65">
      <w:pPr>
        <w:rPr>
          <w:b/>
          <w:sz w:val="32"/>
          <w:szCs w:val="32"/>
          <w:lang w:val="fr-FR"/>
        </w:rPr>
      </w:pPr>
    </w:p>
    <w:p w:rsidR="008E6F49" w:rsidRPr="00DD1D0C" w:rsidRDefault="008E6F49" w:rsidP="00935211">
      <w:pPr>
        <w:spacing w:line="360" w:lineRule="auto"/>
        <w:rPr>
          <w:lang w:val="fr-FR"/>
        </w:rPr>
      </w:pPr>
    </w:p>
    <w:p w:rsidR="008E6F49" w:rsidRDefault="008E6F49" w:rsidP="00935211">
      <w:pPr>
        <w:spacing w:line="360" w:lineRule="auto"/>
        <w:rPr>
          <w:lang w:val="en-IE"/>
        </w:rPr>
      </w:pPr>
      <w:r>
        <w:rPr>
          <w:lang w:val="en-IE"/>
        </w:rPr>
        <w:t>Since the beginning of the ‘War on Terrorism’ the United States’ use of Guantánamo Bay for the detention of suspected terrorists has been the focus of sustained and mostly critical attention. Those detained there have won some rights and procedural entitlements over the course of a long series of litiga</w:t>
      </w:r>
      <w:r w:rsidR="00D96E63">
        <w:rPr>
          <w:lang w:val="en-IE"/>
        </w:rPr>
        <w:t xml:space="preserve">tion (considered in Part II), including the right to </w:t>
      </w:r>
      <w:r w:rsidR="00D96E63">
        <w:rPr>
          <w:i/>
          <w:lang w:val="en-IE"/>
        </w:rPr>
        <w:t xml:space="preserve">habeas corpus </w:t>
      </w:r>
      <w:r w:rsidR="00D96E63">
        <w:rPr>
          <w:lang w:val="en-IE"/>
        </w:rPr>
        <w:t>review before federal courts, but nine years after the first suspected terrorist detainee arrived there, the prison remains open</w:t>
      </w:r>
      <w:r>
        <w:rPr>
          <w:lang w:val="en-IE"/>
        </w:rPr>
        <w:t xml:space="preserve">. </w:t>
      </w:r>
      <w:r w:rsidR="00D96E63">
        <w:rPr>
          <w:lang w:val="en-IE"/>
        </w:rPr>
        <w:t>Although the majority of suspected terrorist detainees are held elsewhere (such as Bagram in Afghanistan),</w:t>
      </w:r>
      <w:r>
        <w:rPr>
          <w:lang w:val="en-IE"/>
        </w:rPr>
        <w:t xml:space="preserve"> Guantánamo </w:t>
      </w:r>
      <w:r w:rsidR="00D96E63">
        <w:rPr>
          <w:lang w:val="en-IE"/>
        </w:rPr>
        <w:t>Bay has been</w:t>
      </w:r>
      <w:r>
        <w:rPr>
          <w:lang w:val="en-IE"/>
        </w:rPr>
        <w:t xml:space="preserve"> the epicentre of rights-based dissent against the ‘War on Terrorism’. The purpose of this essay is to examine President Obama’s relationship with Guantánamo Bay from his pledge, on the first day office, to close the prison as quickly as possible</w:t>
      </w:r>
      <w:r>
        <w:rPr>
          <w:rStyle w:val="FootnoteReference"/>
          <w:lang w:val="en-IE"/>
        </w:rPr>
        <w:footnoteReference w:id="1"/>
      </w:r>
      <w:r>
        <w:rPr>
          <w:lang w:val="en-IE"/>
        </w:rPr>
        <w:t xml:space="preserve"> to his </w:t>
      </w:r>
      <w:r w:rsidR="00583DD6">
        <w:rPr>
          <w:lang w:val="en-IE"/>
        </w:rPr>
        <w:t>apparent acceptance—just two years later—that</w:t>
      </w:r>
      <w:r>
        <w:rPr>
          <w:lang w:val="en-IE"/>
        </w:rPr>
        <w:t>, in all likelihood, it will remain open for quite some time yet.</w:t>
      </w:r>
      <w:r w:rsidR="00D96E63">
        <w:rPr>
          <w:rStyle w:val="FootnoteReference"/>
          <w:lang w:val="en-IE"/>
        </w:rPr>
        <w:footnoteReference w:id="2"/>
      </w:r>
      <w:r w:rsidR="00583DD6">
        <w:rPr>
          <w:lang w:val="en-IE"/>
        </w:rPr>
        <w:t xml:space="preserve"> </w:t>
      </w:r>
    </w:p>
    <w:p w:rsidR="008E6F49" w:rsidRDefault="008E6F49" w:rsidP="00935211">
      <w:pPr>
        <w:spacing w:line="360" w:lineRule="auto"/>
        <w:rPr>
          <w:lang w:val="en-IE"/>
        </w:rPr>
      </w:pPr>
    </w:p>
    <w:p w:rsidR="008E6F49" w:rsidRDefault="008E6F49" w:rsidP="00935211">
      <w:pPr>
        <w:spacing w:line="360" w:lineRule="auto"/>
        <w:rPr>
          <w:lang w:val="en-IE"/>
        </w:rPr>
      </w:pPr>
      <w:r>
        <w:rPr>
          <w:lang w:val="en-IE"/>
        </w:rPr>
        <w:t xml:space="preserve">The </w:t>
      </w:r>
      <w:r w:rsidR="00D96E63">
        <w:rPr>
          <w:lang w:val="en-IE"/>
        </w:rPr>
        <w:t>note proceeds in three</w:t>
      </w:r>
      <w:r>
        <w:rPr>
          <w:lang w:val="en-IE"/>
        </w:rPr>
        <w:t xml:space="preserve"> parts. Part I considers the reason for the use of Guantánamo Bay for the purposes of counter-terrorist detention, focusing especially on its perceived remoteness from the federal courts and normal processes of judicial review. Part II outlines in brief the litigation that to all intents and purposes undid the assumed rationale for Guantánamo Bay and made closure of the prison seem like a prudent legal—if not political—next step. Part III then traces President Obama’s attempts to close the prison and highlights the significant and seemingly insurmountable political opposition to that plan including, especially, Congressional resistance. Overall the note attempts to highlight the story of Guantánamo Bay since 2001 as a story that demonstrates the primacy of politics over law when it comes to the detention of suspected terrorists in the ‘War on Terrorism’.</w:t>
      </w:r>
    </w:p>
    <w:p w:rsidR="008E6F49" w:rsidRDefault="008E6F49" w:rsidP="00935211">
      <w:pPr>
        <w:spacing w:line="360" w:lineRule="auto"/>
        <w:rPr>
          <w:lang w:val="en-IE"/>
        </w:rPr>
      </w:pPr>
    </w:p>
    <w:p w:rsidR="008E6F49" w:rsidRDefault="008E6F49" w:rsidP="00935211">
      <w:pPr>
        <w:spacing w:line="360" w:lineRule="auto"/>
        <w:rPr>
          <w:b/>
          <w:bCs/>
          <w:lang w:val="en-IE"/>
        </w:rPr>
      </w:pPr>
      <w:r>
        <w:rPr>
          <w:b/>
          <w:bCs/>
          <w:lang w:val="en-IE"/>
        </w:rPr>
        <w:t>Part I</w:t>
      </w:r>
      <w:r>
        <w:rPr>
          <w:b/>
          <w:bCs/>
          <w:lang w:val="en-IE"/>
        </w:rPr>
        <w:tab/>
      </w:r>
      <w:r>
        <w:rPr>
          <w:b/>
          <w:bCs/>
          <w:lang w:val="en-IE"/>
        </w:rPr>
        <w:tab/>
        <w:t>Why Guantánamo Bay?</w:t>
      </w:r>
    </w:p>
    <w:p w:rsidR="008E6F49" w:rsidRDefault="008E6F49" w:rsidP="00935211">
      <w:pPr>
        <w:spacing w:line="360" w:lineRule="auto"/>
        <w:rPr>
          <w:b/>
          <w:bCs/>
          <w:lang w:val="en-IE"/>
        </w:rPr>
      </w:pPr>
    </w:p>
    <w:p w:rsidR="008E6F49" w:rsidRDefault="008E6F49" w:rsidP="00935211">
      <w:pPr>
        <w:spacing w:line="360" w:lineRule="auto"/>
        <w:rPr>
          <w:lang w:val="en-IE"/>
        </w:rPr>
      </w:pPr>
      <w:r w:rsidRPr="00B91BEA">
        <w:rPr>
          <w:lang w:val="en-IE"/>
        </w:rPr>
        <w:t xml:space="preserve">That the United States would have wanted to institute a system of internment or detention without trial as part of its ‘War on Terrorism’ was </w:t>
      </w:r>
      <w:r w:rsidR="00D96E63">
        <w:rPr>
          <w:lang w:val="en-IE"/>
        </w:rPr>
        <w:t>un</w:t>
      </w:r>
      <w:r w:rsidRPr="00B91BEA">
        <w:rPr>
          <w:lang w:val="en-IE"/>
        </w:rPr>
        <w:t xml:space="preserve">surprising. In both conventional wars </w:t>
      </w:r>
      <w:r w:rsidRPr="00B91BEA">
        <w:rPr>
          <w:lang w:val="en-IE"/>
        </w:rPr>
        <w:lastRenderedPageBreak/>
        <w:t>and counter-terrorist campaigns outside of the war paradigm the use of detention is widespread.</w:t>
      </w:r>
      <w:r>
        <w:rPr>
          <w:rStyle w:val="FootnoteReference"/>
          <w:lang w:val="en-IE"/>
        </w:rPr>
        <w:footnoteReference w:id="3"/>
      </w:r>
      <w:r w:rsidRPr="00B91BEA">
        <w:rPr>
          <w:lang w:val="en-IE"/>
        </w:rPr>
        <w:t xml:space="preserve"> In the main such detention is intended to be a troop depletion strategy</w:t>
      </w:r>
      <w:r>
        <w:rPr>
          <w:lang w:val="en-IE"/>
        </w:rPr>
        <w:t>,</w:t>
      </w:r>
      <w:r w:rsidRPr="00B91BEA">
        <w:rPr>
          <w:lang w:val="en-IE"/>
        </w:rPr>
        <w:t xml:space="preserve"> reducing the amount of human resources available to the ‘other side’. In the ‘War on Terrorism’, however, this detention was not solely directed towards this objective. It was, instead, concerned largely with preventing further attacks through gathering intelligence from </w:t>
      </w:r>
      <w:r>
        <w:rPr>
          <w:lang w:val="en-IE"/>
        </w:rPr>
        <w:t>detainees</w:t>
      </w:r>
      <w:r w:rsidRPr="00B91BEA">
        <w:rPr>
          <w:lang w:val="en-IE"/>
        </w:rPr>
        <w:t xml:space="preserve">. </w:t>
      </w:r>
      <w:r w:rsidR="00B250CA">
        <w:rPr>
          <w:lang w:val="en-IE"/>
        </w:rPr>
        <w:t xml:space="preserve">For those </w:t>
      </w:r>
      <w:r>
        <w:rPr>
          <w:lang w:val="en-IE"/>
        </w:rPr>
        <w:t>designing the US’ counter-terrorist detention system</w:t>
      </w:r>
      <w:r w:rsidR="00B250CA">
        <w:rPr>
          <w:lang w:val="en-IE"/>
        </w:rPr>
        <w:t>, it was a matter of enormous importance to ensure</w:t>
      </w:r>
      <w:r>
        <w:rPr>
          <w:lang w:val="en-IE"/>
        </w:rPr>
        <w:t xml:space="preserve"> that detainees could not ‘obstruct’ these efforts by appealing to the courts for some kind of relief through </w:t>
      </w:r>
      <w:r>
        <w:rPr>
          <w:i/>
          <w:iCs/>
          <w:lang w:val="en-IE"/>
        </w:rPr>
        <w:t>habeas corpus</w:t>
      </w:r>
      <w:r>
        <w:rPr>
          <w:lang w:val="en-IE"/>
        </w:rPr>
        <w:t xml:space="preserve"> or an analogous writ.</w:t>
      </w:r>
      <w:r>
        <w:rPr>
          <w:rStyle w:val="FootnoteReference"/>
          <w:lang w:val="en-IE"/>
        </w:rPr>
        <w:footnoteReference w:id="4"/>
      </w:r>
      <w:r>
        <w:rPr>
          <w:lang w:val="en-IE"/>
        </w:rPr>
        <w:t xml:space="preserve"> Thus, the </w:t>
      </w:r>
      <w:r w:rsidR="00B250CA">
        <w:rPr>
          <w:lang w:val="en-IE"/>
        </w:rPr>
        <w:t>US</w:t>
      </w:r>
      <w:r>
        <w:rPr>
          <w:lang w:val="en-IE"/>
        </w:rPr>
        <w:t xml:space="preserve"> wanted to have a detention centre that was not on the ‘battlefield’ (loosely defined as that concept is in the ‘War on Terrorism’) but was also beyond the reach of the federal judiciary. They knew from the World War II case of </w:t>
      </w:r>
      <w:r>
        <w:rPr>
          <w:i/>
          <w:iCs/>
          <w:lang w:val="en-IE"/>
        </w:rPr>
        <w:t>Johnson v Eisentrager</w:t>
      </w:r>
      <w:r w:rsidRPr="003C02FF">
        <w:rPr>
          <w:rStyle w:val="FootnoteReference"/>
          <w:lang w:val="en-IE"/>
        </w:rPr>
        <w:footnoteReference w:id="5"/>
      </w:r>
      <w:r w:rsidRPr="003C02FF">
        <w:rPr>
          <w:lang w:val="en-IE"/>
        </w:rPr>
        <w:t xml:space="preserve"> </w:t>
      </w:r>
      <w:r>
        <w:rPr>
          <w:lang w:val="en-IE"/>
        </w:rPr>
        <w:t xml:space="preserve">that non-US-citizens captured and detained ‘abroad’ in relation to acts done ‘abroad’ were not considered to have constitutional or statutory </w:t>
      </w:r>
      <w:r>
        <w:rPr>
          <w:i/>
          <w:iCs/>
          <w:lang w:val="en-IE"/>
        </w:rPr>
        <w:t xml:space="preserve">habeas corpus </w:t>
      </w:r>
      <w:r>
        <w:rPr>
          <w:lang w:val="en-IE"/>
        </w:rPr>
        <w:t>rights</w:t>
      </w:r>
      <w:r w:rsidR="00A17FF6">
        <w:rPr>
          <w:lang w:val="en-IE"/>
        </w:rPr>
        <w:t>; thus</w:t>
      </w:r>
      <w:r>
        <w:rPr>
          <w:lang w:val="en-IE"/>
        </w:rPr>
        <w:t xml:space="preserve"> extra-territorial detention identified itself as the logical choice for the Bush Administration. Guantánamo Bay—a small area held by the </w:t>
      </w:r>
      <w:r w:rsidR="00B250CA">
        <w:rPr>
          <w:lang w:val="en-IE"/>
        </w:rPr>
        <w:t>US</w:t>
      </w:r>
      <w:r>
        <w:rPr>
          <w:lang w:val="en-IE"/>
        </w:rPr>
        <w:t xml:space="preserve"> under a perpetual lease that gave it full jurisdiction over it</w:t>
      </w:r>
      <w:r>
        <w:rPr>
          <w:rStyle w:val="FootnoteReference"/>
          <w:lang w:val="en-IE"/>
        </w:rPr>
        <w:footnoteReference w:id="6"/>
      </w:r>
      <w:r>
        <w:rPr>
          <w:lang w:val="en-IE"/>
        </w:rPr>
        <w:t xml:space="preserve"> but which was </w:t>
      </w:r>
      <w:r>
        <w:rPr>
          <w:i/>
          <w:iCs/>
          <w:lang w:val="en-IE"/>
        </w:rPr>
        <w:t>strictly speaking</w:t>
      </w:r>
      <w:r>
        <w:rPr>
          <w:lang w:val="en-IE"/>
        </w:rPr>
        <w:t xml:space="preserve"> outside of the territory of the United States—was thus identified as the appropriate location and detention there commenced. </w:t>
      </w:r>
    </w:p>
    <w:p w:rsidR="008E6F49" w:rsidRDefault="008E6F49" w:rsidP="00935211">
      <w:pPr>
        <w:spacing w:line="360" w:lineRule="auto"/>
        <w:rPr>
          <w:lang w:val="en-IE"/>
        </w:rPr>
      </w:pPr>
    </w:p>
    <w:p w:rsidR="008E6F49" w:rsidRPr="003C02FF" w:rsidRDefault="008E6F49" w:rsidP="00935211">
      <w:pPr>
        <w:spacing w:line="360" w:lineRule="auto"/>
        <w:rPr>
          <w:lang w:val="en-IE"/>
        </w:rPr>
      </w:pPr>
      <w:r>
        <w:rPr>
          <w:lang w:val="en-IE"/>
        </w:rPr>
        <w:t xml:space="preserve">This rationale is an important part of the Guantánamo Bay story for it formed the main plank in the Administration’s attempts to prevent judicial scrutiny of activities there. </w:t>
      </w:r>
      <w:r w:rsidR="00A17FF6">
        <w:rPr>
          <w:lang w:val="en-IE"/>
        </w:rPr>
        <w:t>Guantánamo Bay</w:t>
      </w:r>
      <w:r>
        <w:rPr>
          <w:lang w:val="en-IE"/>
        </w:rPr>
        <w:t xml:space="preserve"> was not the </w:t>
      </w:r>
      <w:r w:rsidR="00B250CA">
        <w:rPr>
          <w:lang w:val="en-IE"/>
        </w:rPr>
        <w:t>US</w:t>
      </w:r>
      <w:r>
        <w:rPr>
          <w:lang w:val="en-IE"/>
        </w:rPr>
        <w:t>, they argued. It was somewhere different; somewhere that the long arm of domestic law could not reach. It was insulated from federal courts; a ‘legal black hole’.</w:t>
      </w:r>
      <w:r>
        <w:rPr>
          <w:rStyle w:val="FootnoteReference"/>
          <w:lang w:val="en-IE"/>
        </w:rPr>
        <w:footnoteReference w:id="7"/>
      </w:r>
      <w:r>
        <w:rPr>
          <w:lang w:val="en-IE"/>
        </w:rPr>
        <w:t xml:space="preserve"> Of course, to call Guantánamo Bay a ‘legal black hole’ </w:t>
      </w:r>
      <w:r w:rsidR="00B250CA">
        <w:rPr>
          <w:lang w:val="en-IE"/>
        </w:rPr>
        <w:t>suggests</w:t>
      </w:r>
      <w:r>
        <w:rPr>
          <w:lang w:val="en-IE"/>
        </w:rPr>
        <w:t xml:space="preserve"> that it was a place devoid of law. Nothing could be further from the truth, for in reality Guantánamo Bay was saturated in law and in a legal rationale.</w:t>
      </w:r>
      <w:r>
        <w:rPr>
          <w:rStyle w:val="FootnoteReference"/>
          <w:lang w:val="en-IE"/>
        </w:rPr>
        <w:footnoteReference w:id="8"/>
      </w:r>
      <w:r>
        <w:rPr>
          <w:lang w:val="en-IE"/>
        </w:rPr>
        <w:t xml:space="preserve"> It was a space carved out of law; identified on the basis of Supreme Court precedent and then rhetorically presented as beyond law. Without this </w:t>
      </w:r>
      <w:r>
        <w:rPr>
          <w:lang w:val="en-IE"/>
        </w:rPr>
        <w:lastRenderedPageBreak/>
        <w:t>understanding that Guantánamo Bay could not be scrutinised by the federal judiciary it would not have been a sensible location for the kind of detention desired by the Bush Administration. Thus, the main priority in moving Guantánamo Bay “towards legality”</w:t>
      </w:r>
      <w:r>
        <w:rPr>
          <w:rStyle w:val="FootnoteReference"/>
          <w:lang w:val="en-IE"/>
        </w:rPr>
        <w:footnoteReference w:id="9"/>
      </w:r>
      <w:r>
        <w:rPr>
          <w:lang w:val="en-IE"/>
        </w:rPr>
        <w:t xml:space="preserve"> would have to be dismantling this legal rationale and showing clearly that the federal courts did have jurisdiction there. That was achieved by means of three important cases: </w:t>
      </w:r>
      <w:r>
        <w:rPr>
          <w:i/>
          <w:iCs/>
          <w:lang w:val="en-IE"/>
        </w:rPr>
        <w:t>Rasul</w:t>
      </w:r>
      <w:r>
        <w:rPr>
          <w:lang w:val="en-IE"/>
        </w:rPr>
        <w:t>,</w:t>
      </w:r>
      <w:r>
        <w:rPr>
          <w:rStyle w:val="FootnoteReference"/>
          <w:lang w:val="en-IE"/>
        </w:rPr>
        <w:footnoteReference w:id="10"/>
      </w:r>
      <w:r>
        <w:rPr>
          <w:lang w:val="en-IE"/>
        </w:rPr>
        <w:t xml:space="preserve"> </w:t>
      </w:r>
      <w:r>
        <w:rPr>
          <w:i/>
          <w:iCs/>
          <w:lang w:val="en-IE"/>
        </w:rPr>
        <w:t>Hamdan</w:t>
      </w:r>
      <w:r w:rsidRPr="003C02FF">
        <w:rPr>
          <w:rStyle w:val="FootnoteReference"/>
          <w:lang w:val="en-IE"/>
        </w:rPr>
        <w:footnoteReference w:id="11"/>
      </w:r>
      <w:r w:rsidRPr="003C02FF">
        <w:rPr>
          <w:lang w:val="en-IE"/>
        </w:rPr>
        <w:t xml:space="preserve"> </w:t>
      </w:r>
      <w:r>
        <w:rPr>
          <w:lang w:val="en-IE"/>
        </w:rPr>
        <w:t xml:space="preserve">and </w:t>
      </w:r>
      <w:r>
        <w:rPr>
          <w:i/>
          <w:iCs/>
          <w:lang w:val="en-IE"/>
        </w:rPr>
        <w:t>Boumediene</w:t>
      </w:r>
      <w:r>
        <w:rPr>
          <w:lang w:val="en-IE"/>
        </w:rPr>
        <w:t>.</w:t>
      </w:r>
      <w:r>
        <w:rPr>
          <w:rStyle w:val="FootnoteReference"/>
          <w:lang w:val="en-IE"/>
        </w:rPr>
        <w:footnoteReference w:id="12"/>
      </w:r>
    </w:p>
    <w:p w:rsidR="008E6F49" w:rsidRDefault="008E6F49" w:rsidP="00935211">
      <w:pPr>
        <w:spacing w:line="360" w:lineRule="auto"/>
        <w:rPr>
          <w:b/>
          <w:bCs/>
          <w:lang w:val="en-IE"/>
        </w:rPr>
      </w:pPr>
    </w:p>
    <w:p w:rsidR="008E6F49" w:rsidRDefault="008E6F49" w:rsidP="00935211">
      <w:pPr>
        <w:spacing w:line="360" w:lineRule="auto"/>
        <w:ind w:left="1440" w:hanging="1440"/>
        <w:rPr>
          <w:b/>
          <w:bCs/>
          <w:lang w:val="en-IE"/>
        </w:rPr>
      </w:pPr>
      <w:r>
        <w:rPr>
          <w:b/>
          <w:bCs/>
          <w:lang w:val="en-IE"/>
        </w:rPr>
        <w:t>Part II</w:t>
      </w:r>
      <w:r>
        <w:rPr>
          <w:b/>
          <w:bCs/>
          <w:lang w:val="en-IE"/>
        </w:rPr>
        <w:tab/>
        <w:t>The US Supreme Court and the Diminishing Rationale for Guantánamo Detention</w:t>
      </w:r>
    </w:p>
    <w:p w:rsidR="008E6F49" w:rsidRDefault="008E6F49" w:rsidP="00935211">
      <w:pPr>
        <w:spacing w:line="360" w:lineRule="auto"/>
        <w:ind w:left="1440" w:hanging="1440"/>
        <w:rPr>
          <w:b/>
          <w:bCs/>
          <w:lang w:val="en-IE"/>
        </w:rPr>
      </w:pPr>
    </w:p>
    <w:p w:rsidR="008E6F49" w:rsidRDefault="008E6F49" w:rsidP="00FB7228">
      <w:pPr>
        <w:spacing w:line="360" w:lineRule="auto"/>
        <w:ind w:hanging="22"/>
        <w:rPr>
          <w:lang w:val="en-IE"/>
        </w:rPr>
      </w:pPr>
      <w:r>
        <w:rPr>
          <w:lang w:val="en-IE"/>
        </w:rPr>
        <w:t xml:space="preserve">In </w:t>
      </w:r>
      <w:r>
        <w:rPr>
          <w:i/>
          <w:iCs/>
          <w:lang w:val="en-IE"/>
        </w:rPr>
        <w:t>Rasul</w:t>
      </w:r>
      <w:r w:rsidRPr="0095229A">
        <w:rPr>
          <w:rStyle w:val="FootnoteReference"/>
          <w:iCs/>
          <w:lang w:val="en-IE"/>
        </w:rPr>
        <w:footnoteReference w:id="13"/>
      </w:r>
      <w:r>
        <w:rPr>
          <w:lang w:val="en-IE"/>
        </w:rPr>
        <w:t xml:space="preserve"> </w:t>
      </w:r>
      <w:r w:rsidR="00B250CA">
        <w:rPr>
          <w:lang w:val="en-IE"/>
        </w:rPr>
        <w:t>a number of Guantánamo detainees</w:t>
      </w:r>
      <w:r>
        <w:rPr>
          <w:lang w:val="en-IE"/>
        </w:rPr>
        <w:t xml:space="preserve"> alleged that they had statutory and constitutional rights of access to federal courts. In the </w:t>
      </w:r>
      <w:r w:rsidR="00B250CA">
        <w:rPr>
          <w:lang w:val="en-IE"/>
        </w:rPr>
        <w:t>US</w:t>
      </w:r>
      <w:r>
        <w:rPr>
          <w:lang w:val="en-IE"/>
        </w:rPr>
        <w:t xml:space="preserve"> </w:t>
      </w:r>
      <w:r>
        <w:rPr>
          <w:i/>
          <w:iCs/>
          <w:lang w:val="en-IE"/>
        </w:rPr>
        <w:t>habeas corpus</w:t>
      </w:r>
      <w:r>
        <w:rPr>
          <w:lang w:val="en-IE"/>
        </w:rPr>
        <w:t xml:space="preserve"> has both a statutory and a constitutional form,</w:t>
      </w:r>
      <w:r>
        <w:rPr>
          <w:rStyle w:val="FootnoteReference"/>
          <w:lang w:val="en-IE"/>
        </w:rPr>
        <w:footnoteReference w:id="14"/>
      </w:r>
      <w:r>
        <w:rPr>
          <w:lang w:val="en-IE"/>
        </w:rPr>
        <w:t xml:space="preserve"> and the decision in </w:t>
      </w:r>
      <w:r>
        <w:rPr>
          <w:i/>
          <w:iCs/>
          <w:lang w:val="en-IE"/>
        </w:rPr>
        <w:t>Johnson</w:t>
      </w:r>
      <w:r w:rsidRPr="0095229A">
        <w:rPr>
          <w:rStyle w:val="FootnoteReference"/>
          <w:iCs/>
          <w:lang w:val="en-IE"/>
        </w:rPr>
        <w:footnoteReference w:id="15"/>
      </w:r>
      <w:r>
        <w:rPr>
          <w:i/>
          <w:iCs/>
          <w:lang w:val="en-IE"/>
        </w:rPr>
        <w:t xml:space="preserve"> </w:t>
      </w:r>
      <w:r>
        <w:rPr>
          <w:lang w:val="en-IE"/>
        </w:rPr>
        <w:t>suggested</w:t>
      </w:r>
      <w:r w:rsidR="00B250CA">
        <w:rPr>
          <w:lang w:val="en-IE"/>
        </w:rPr>
        <w:t xml:space="preserve"> the inaccessibility of either </w:t>
      </w:r>
      <w:r>
        <w:rPr>
          <w:lang w:val="en-IE"/>
        </w:rPr>
        <w:t xml:space="preserve">to non-US-citizens captured and detained abroad. Although the Supreme Court did not undo the constitutional analysis in </w:t>
      </w:r>
      <w:r>
        <w:rPr>
          <w:i/>
          <w:iCs/>
          <w:lang w:val="en-IE"/>
        </w:rPr>
        <w:t>Johnson</w:t>
      </w:r>
      <w:r>
        <w:rPr>
          <w:lang w:val="en-IE"/>
        </w:rPr>
        <w:t xml:space="preserve"> and focussed instead on statutory considerations, the decision was </w:t>
      </w:r>
      <w:r w:rsidR="0095229A">
        <w:rPr>
          <w:lang w:val="en-IE"/>
        </w:rPr>
        <w:t>significant</w:t>
      </w:r>
      <w:r>
        <w:rPr>
          <w:lang w:val="en-IE"/>
        </w:rPr>
        <w:t xml:space="preserve"> as the Court found that </w:t>
      </w:r>
      <w:r w:rsidR="0095229A">
        <w:rPr>
          <w:lang w:val="en-IE"/>
        </w:rPr>
        <w:t>Guantánamo detainees</w:t>
      </w:r>
      <w:r>
        <w:rPr>
          <w:lang w:val="en-IE"/>
        </w:rPr>
        <w:t xml:space="preserve"> were in fact entitled to </w:t>
      </w:r>
      <w:r w:rsidR="0095229A">
        <w:rPr>
          <w:lang w:val="en-IE"/>
        </w:rPr>
        <w:t>access</w:t>
      </w:r>
      <w:r>
        <w:rPr>
          <w:lang w:val="en-IE"/>
        </w:rPr>
        <w:t xml:space="preserve"> federal courts</w:t>
      </w:r>
      <w:r w:rsidR="0095229A">
        <w:rPr>
          <w:lang w:val="en-IE"/>
        </w:rPr>
        <w:t xml:space="preserve"> through statutory </w:t>
      </w:r>
      <w:r w:rsidR="0095229A">
        <w:rPr>
          <w:i/>
          <w:lang w:val="en-IE"/>
        </w:rPr>
        <w:t>habeas corpus</w:t>
      </w:r>
      <w:r>
        <w:rPr>
          <w:lang w:val="en-IE"/>
        </w:rPr>
        <w:t xml:space="preserve">. That suggested, as an initial matter, that one pillar </w:t>
      </w:r>
      <w:r w:rsidR="0095229A">
        <w:rPr>
          <w:lang w:val="en-IE"/>
        </w:rPr>
        <w:t xml:space="preserve">(based on the perceived scope of statutory </w:t>
      </w:r>
      <w:r w:rsidR="0095229A">
        <w:rPr>
          <w:i/>
          <w:lang w:val="en-IE"/>
        </w:rPr>
        <w:t xml:space="preserve">habeas </w:t>
      </w:r>
      <w:r w:rsidR="0095229A" w:rsidRPr="0095229A">
        <w:rPr>
          <w:lang w:val="en-IE"/>
        </w:rPr>
        <w:t>corpus</w:t>
      </w:r>
      <w:r w:rsidR="0095229A">
        <w:rPr>
          <w:lang w:val="en-IE"/>
        </w:rPr>
        <w:t xml:space="preserve">) </w:t>
      </w:r>
      <w:r w:rsidRPr="0095229A">
        <w:rPr>
          <w:lang w:val="en-IE"/>
        </w:rPr>
        <w:t>upon</w:t>
      </w:r>
      <w:r>
        <w:rPr>
          <w:lang w:val="en-IE"/>
        </w:rPr>
        <w:t xml:space="preserve"> which the Administration’s argument was constructed had fallen; however legislative pillars are relatively easily rebuilt through the passage of further law. That, indeed, is what happened in the light of </w:t>
      </w:r>
      <w:r>
        <w:rPr>
          <w:i/>
          <w:iCs/>
          <w:lang w:val="en-IE"/>
        </w:rPr>
        <w:t>Rasul</w:t>
      </w:r>
      <w:r>
        <w:rPr>
          <w:lang w:val="en-IE"/>
        </w:rPr>
        <w:t>.</w:t>
      </w:r>
    </w:p>
    <w:p w:rsidR="008E6F49" w:rsidRDefault="008E6F49" w:rsidP="00FB7228">
      <w:pPr>
        <w:spacing w:line="360" w:lineRule="auto"/>
        <w:ind w:hanging="22"/>
        <w:rPr>
          <w:lang w:val="en-IE"/>
        </w:rPr>
      </w:pPr>
    </w:p>
    <w:p w:rsidR="008E6F49" w:rsidRDefault="008E6F49" w:rsidP="00FB7228">
      <w:pPr>
        <w:spacing w:line="360" w:lineRule="auto"/>
        <w:ind w:hanging="22"/>
        <w:rPr>
          <w:lang w:val="en-IE"/>
        </w:rPr>
      </w:pPr>
      <w:r>
        <w:rPr>
          <w:lang w:val="en-IE"/>
        </w:rPr>
        <w:t>It would be fair</w:t>
      </w:r>
      <w:r w:rsidR="00B250CA">
        <w:rPr>
          <w:lang w:val="en-IE"/>
        </w:rPr>
        <w:t xml:space="preserve"> to say that at least some members</w:t>
      </w:r>
      <w:r>
        <w:rPr>
          <w:lang w:val="en-IE"/>
        </w:rPr>
        <w:t xml:space="preserve"> of the US Congress were outraged at this ‘judicial interference’ in Guantánamo Bay and ‘national security’.</w:t>
      </w:r>
      <w:r>
        <w:rPr>
          <w:rStyle w:val="FootnoteReference"/>
          <w:lang w:val="en-IE"/>
        </w:rPr>
        <w:footnoteReference w:id="16"/>
      </w:r>
      <w:r>
        <w:rPr>
          <w:lang w:val="en-IE"/>
        </w:rPr>
        <w:t xml:space="preserve"> Within a very short period of time, the Detainee Treatment Act 2005</w:t>
      </w:r>
      <w:r>
        <w:rPr>
          <w:rStyle w:val="FootnoteReference"/>
          <w:lang w:val="en-IE"/>
        </w:rPr>
        <w:footnoteReference w:id="17"/>
      </w:r>
      <w:r>
        <w:rPr>
          <w:lang w:val="en-IE"/>
        </w:rPr>
        <w:t xml:space="preserve"> had been introduced</w:t>
      </w:r>
      <w:r w:rsidR="00D033DF">
        <w:rPr>
          <w:lang w:val="en-IE"/>
        </w:rPr>
        <w:t>, s. 1005(e) of which was clearly directed towards undoing</w:t>
      </w:r>
      <w:r>
        <w:rPr>
          <w:lang w:val="en-IE"/>
        </w:rPr>
        <w:t xml:space="preserve"> the </w:t>
      </w:r>
      <w:r>
        <w:rPr>
          <w:i/>
          <w:iCs/>
          <w:lang w:val="en-IE"/>
        </w:rPr>
        <w:t>Rasul</w:t>
      </w:r>
      <w:r>
        <w:rPr>
          <w:lang w:val="en-IE"/>
        </w:rPr>
        <w:t xml:space="preserve"> decision. </w:t>
      </w:r>
      <w:r w:rsidR="00D033DF">
        <w:rPr>
          <w:lang w:val="en-IE"/>
        </w:rPr>
        <w:t>Section 1005(e)</w:t>
      </w:r>
      <w:r>
        <w:rPr>
          <w:lang w:val="en-IE"/>
        </w:rPr>
        <w:t xml:space="preserve"> provided</w:t>
      </w:r>
      <w:r w:rsidR="00D033DF">
        <w:rPr>
          <w:lang w:val="en-IE"/>
        </w:rPr>
        <w:t xml:space="preserve"> for jurisdiction-</w:t>
      </w:r>
      <w:r>
        <w:rPr>
          <w:lang w:val="en-IE"/>
        </w:rPr>
        <w:t xml:space="preserve">stripping so that federal courts would not have any </w:t>
      </w:r>
      <w:r>
        <w:rPr>
          <w:i/>
          <w:iCs/>
          <w:lang w:val="en-IE"/>
        </w:rPr>
        <w:t xml:space="preserve">habeas corpus </w:t>
      </w:r>
      <w:r>
        <w:rPr>
          <w:lang w:val="en-IE"/>
        </w:rPr>
        <w:t xml:space="preserve">authority in </w:t>
      </w:r>
      <w:r>
        <w:rPr>
          <w:lang w:val="en-IE"/>
        </w:rPr>
        <w:lastRenderedPageBreak/>
        <w:t>relation to Guantánamo detainees. Such jurisdiction stripping provisions are quite standard in US domestic law and do not present any constitutional difficulty</w:t>
      </w:r>
      <w:r w:rsidR="00D033DF">
        <w:rPr>
          <w:lang w:val="en-IE"/>
        </w:rPr>
        <w:t xml:space="preserve"> </w:t>
      </w:r>
      <w:r w:rsidR="00D033DF">
        <w:rPr>
          <w:i/>
          <w:lang w:val="en-IE"/>
        </w:rPr>
        <w:t>per se</w:t>
      </w:r>
      <w:r>
        <w:rPr>
          <w:lang w:val="en-IE"/>
        </w:rPr>
        <w:t>,</w:t>
      </w:r>
      <w:r>
        <w:rPr>
          <w:rStyle w:val="FootnoteReference"/>
          <w:lang w:val="en-IE"/>
        </w:rPr>
        <w:footnoteReference w:id="18"/>
      </w:r>
      <w:r>
        <w:rPr>
          <w:lang w:val="en-IE"/>
        </w:rPr>
        <w:t xml:space="preserve"> but the capacity of the Detainee Treatment Act to fulfil Congress’ desired objective was frustrated by the case of </w:t>
      </w:r>
      <w:r>
        <w:rPr>
          <w:i/>
          <w:iCs/>
          <w:lang w:val="en-IE"/>
        </w:rPr>
        <w:t>Hamdan</w:t>
      </w:r>
      <w:r>
        <w:rPr>
          <w:lang w:val="en-IE"/>
        </w:rPr>
        <w:t>.</w:t>
      </w:r>
      <w:r>
        <w:rPr>
          <w:rStyle w:val="FootnoteReference"/>
          <w:lang w:val="en-IE"/>
        </w:rPr>
        <w:footnoteReference w:id="19"/>
      </w:r>
      <w:r w:rsidR="00141D80">
        <w:rPr>
          <w:lang w:val="en-IE"/>
        </w:rPr>
        <w:t xml:space="preserve"> </w:t>
      </w:r>
      <w:r>
        <w:rPr>
          <w:lang w:val="en-IE"/>
        </w:rPr>
        <w:t xml:space="preserve">Hamdan had lodged his petition for </w:t>
      </w:r>
      <w:r>
        <w:rPr>
          <w:i/>
          <w:iCs/>
          <w:lang w:val="en-IE"/>
        </w:rPr>
        <w:t>habeas corpus</w:t>
      </w:r>
      <w:r>
        <w:rPr>
          <w:lang w:val="en-IE"/>
        </w:rPr>
        <w:t xml:space="preserve"> in the Supreme Court before the passage of the Detainee Treatment Act and, in spite of (sometimes quite imaginative) attempts by the State and a number of </w:t>
      </w:r>
      <w:r>
        <w:rPr>
          <w:i/>
          <w:iCs/>
          <w:lang w:val="en-IE"/>
        </w:rPr>
        <w:t xml:space="preserve">amici </w:t>
      </w:r>
      <w:r>
        <w:rPr>
          <w:lang w:val="en-IE"/>
        </w:rPr>
        <w:t>to convince the Supreme Court that the jurisdiction stripping provisions it contained were retrospective in their effect,</w:t>
      </w:r>
      <w:r>
        <w:rPr>
          <w:rStyle w:val="FootnoteReference"/>
          <w:lang w:val="en-IE"/>
        </w:rPr>
        <w:footnoteReference w:id="20"/>
      </w:r>
      <w:r>
        <w:rPr>
          <w:lang w:val="en-IE"/>
        </w:rPr>
        <w:t xml:space="preserve"> the found that it had jurisdiction over the petition (applying </w:t>
      </w:r>
      <w:r>
        <w:rPr>
          <w:i/>
          <w:iCs/>
          <w:lang w:val="en-IE"/>
        </w:rPr>
        <w:t>Rasul</w:t>
      </w:r>
      <w:r>
        <w:rPr>
          <w:lang w:val="en-IE"/>
        </w:rPr>
        <w:t xml:space="preserve">). In fact, it was </w:t>
      </w:r>
      <w:r>
        <w:rPr>
          <w:i/>
          <w:iCs/>
          <w:lang w:val="en-IE"/>
        </w:rPr>
        <w:t xml:space="preserve">Hamdan </w:t>
      </w:r>
      <w:r>
        <w:rPr>
          <w:lang w:val="en-IE"/>
        </w:rPr>
        <w:t>that introduced some of the most significant procedural and rights-based changes in Guantánamo Bay because of the Court’s finding that the ‘War on Terrorism’ constituted a non-international armed conflict to which at least the minimum provisions of international humanitarian law</w:t>
      </w:r>
      <w:r w:rsidR="00141D80">
        <w:rPr>
          <w:lang w:val="en-IE"/>
        </w:rPr>
        <w:t>, including Common Article 3 of the Geneva Conventions,</w:t>
      </w:r>
      <w:r>
        <w:rPr>
          <w:lang w:val="en-IE"/>
        </w:rPr>
        <w:t xml:space="preserve"> applied.</w:t>
      </w:r>
      <w:r>
        <w:rPr>
          <w:rStyle w:val="FootnoteReference"/>
          <w:lang w:val="en-IE"/>
        </w:rPr>
        <w:footnoteReference w:id="21"/>
      </w:r>
      <w:r>
        <w:rPr>
          <w:lang w:val="en-IE"/>
        </w:rPr>
        <w:t xml:space="preserve"> </w:t>
      </w:r>
    </w:p>
    <w:p w:rsidR="008E6F49" w:rsidRDefault="008E6F49" w:rsidP="00FB7228">
      <w:pPr>
        <w:spacing w:line="360" w:lineRule="auto"/>
        <w:ind w:hanging="22"/>
        <w:rPr>
          <w:lang w:val="en-IE"/>
        </w:rPr>
      </w:pPr>
    </w:p>
    <w:p w:rsidR="008E6F49" w:rsidRDefault="008E6F49" w:rsidP="00FB7228">
      <w:pPr>
        <w:spacing w:line="360" w:lineRule="auto"/>
        <w:ind w:hanging="22"/>
        <w:rPr>
          <w:lang w:val="en-IE"/>
        </w:rPr>
      </w:pPr>
      <w:r>
        <w:rPr>
          <w:lang w:val="en-IE"/>
        </w:rPr>
        <w:t xml:space="preserve">Like </w:t>
      </w:r>
      <w:r>
        <w:rPr>
          <w:i/>
          <w:iCs/>
          <w:lang w:val="en-IE"/>
        </w:rPr>
        <w:t>Rasul</w:t>
      </w:r>
      <w:r>
        <w:rPr>
          <w:lang w:val="en-IE"/>
        </w:rPr>
        <w:t xml:space="preserve">, however, </w:t>
      </w:r>
      <w:r>
        <w:rPr>
          <w:i/>
          <w:iCs/>
          <w:lang w:val="en-IE"/>
        </w:rPr>
        <w:t>Hamdan</w:t>
      </w:r>
      <w:r>
        <w:rPr>
          <w:lang w:val="en-IE"/>
        </w:rPr>
        <w:t xml:space="preserve"> was a case where the Supreme Court rooted its </w:t>
      </w:r>
      <w:r w:rsidR="008E6577">
        <w:rPr>
          <w:lang w:val="en-IE"/>
        </w:rPr>
        <w:t xml:space="preserve">finding of </w:t>
      </w:r>
      <w:r>
        <w:rPr>
          <w:lang w:val="en-IE"/>
        </w:rPr>
        <w:t xml:space="preserve">jurisdiction in statute, meaning that Congress could once again strip jurisdiction from the Court. Indeed, this was done in the Military Commissions Act 2007 that made it clear that the Supreme Court had no </w:t>
      </w:r>
      <w:r>
        <w:rPr>
          <w:i/>
          <w:iCs/>
          <w:lang w:val="en-IE"/>
        </w:rPr>
        <w:t>habeas corpus</w:t>
      </w:r>
      <w:r>
        <w:rPr>
          <w:lang w:val="en-IE"/>
        </w:rPr>
        <w:t xml:space="preserve"> jurisdiction—retrospective, present or prospective—over Guantánamo Bay detainees.</w:t>
      </w:r>
      <w:r>
        <w:rPr>
          <w:rStyle w:val="FootnoteReference"/>
          <w:lang w:val="en-IE"/>
        </w:rPr>
        <w:footnoteReference w:id="22"/>
      </w:r>
      <w:r>
        <w:rPr>
          <w:lang w:val="en-IE"/>
        </w:rPr>
        <w:t xml:space="preserve"> By the time the joined cases of </w:t>
      </w:r>
      <w:r>
        <w:rPr>
          <w:i/>
          <w:iCs/>
          <w:lang w:val="en-IE"/>
        </w:rPr>
        <w:t>Boumediene</w:t>
      </w:r>
      <w:r>
        <w:rPr>
          <w:lang w:val="en-IE"/>
        </w:rPr>
        <w:t xml:space="preserve"> and </w:t>
      </w:r>
      <w:r>
        <w:rPr>
          <w:i/>
          <w:iCs/>
          <w:lang w:val="en-IE"/>
        </w:rPr>
        <w:t>Al Odah</w:t>
      </w:r>
      <w:r>
        <w:rPr>
          <w:lang w:val="en-IE"/>
        </w:rPr>
        <w:t xml:space="preserve"> (now known simply as </w:t>
      </w:r>
      <w:r>
        <w:rPr>
          <w:i/>
          <w:iCs/>
          <w:lang w:val="en-IE"/>
        </w:rPr>
        <w:t>Boumediene</w:t>
      </w:r>
      <w:r w:rsidRPr="0012605F">
        <w:rPr>
          <w:rStyle w:val="FootnoteReference"/>
          <w:lang w:val="en-IE"/>
        </w:rPr>
        <w:footnoteReference w:id="23"/>
      </w:r>
      <w:r>
        <w:rPr>
          <w:lang w:val="en-IE"/>
        </w:rPr>
        <w:t xml:space="preserve">) came before the Court it was clear that the Supreme Court had two options: either accept that </w:t>
      </w:r>
      <w:r w:rsidR="008E6577">
        <w:rPr>
          <w:lang w:val="en-IE"/>
        </w:rPr>
        <w:t>it</w:t>
      </w:r>
      <w:r>
        <w:rPr>
          <w:lang w:val="en-IE"/>
        </w:rPr>
        <w:t xml:space="preserve"> had no jurisdiction because it had be</w:t>
      </w:r>
      <w:r w:rsidR="008E6577">
        <w:rPr>
          <w:lang w:val="en-IE"/>
        </w:rPr>
        <w:t>en stripped by statute and the c</w:t>
      </w:r>
      <w:r>
        <w:rPr>
          <w:lang w:val="en-IE"/>
        </w:rPr>
        <w:t xml:space="preserve">onstitutional </w:t>
      </w:r>
      <w:r>
        <w:rPr>
          <w:i/>
          <w:iCs/>
          <w:lang w:val="en-IE"/>
        </w:rPr>
        <w:t xml:space="preserve">habeas corpus </w:t>
      </w:r>
      <w:r>
        <w:rPr>
          <w:lang w:val="en-IE"/>
        </w:rPr>
        <w:t xml:space="preserve">provisions did not apply </w:t>
      </w:r>
      <w:r>
        <w:rPr>
          <w:i/>
          <w:iCs/>
          <w:lang w:val="en-IE"/>
        </w:rPr>
        <w:t>or</w:t>
      </w:r>
      <w:r>
        <w:rPr>
          <w:lang w:val="en-IE"/>
        </w:rPr>
        <w:t xml:space="preserve"> find that, to at least some extent, detainees in Guantánamo Bay were constitutional rights bearers.</w:t>
      </w:r>
    </w:p>
    <w:p w:rsidR="008E6F49" w:rsidRDefault="008E6F49" w:rsidP="00FB7228">
      <w:pPr>
        <w:spacing w:line="360" w:lineRule="auto"/>
        <w:ind w:hanging="22"/>
        <w:rPr>
          <w:lang w:val="en-IE"/>
        </w:rPr>
      </w:pPr>
    </w:p>
    <w:p w:rsidR="008E6F49" w:rsidRDefault="008E6F49" w:rsidP="00FB7228">
      <w:pPr>
        <w:spacing w:line="360" w:lineRule="auto"/>
        <w:ind w:hanging="22"/>
      </w:pPr>
      <w:r>
        <w:rPr>
          <w:lang w:val="en-IE"/>
        </w:rPr>
        <w:t xml:space="preserve">It was the latter course that the Court chose in </w:t>
      </w:r>
      <w:r>
        <w:rPr>
          <w:i/>
          <w:iCs/>
          <w:lang w:val="en-IE"/>
        </w:rPr>
        <w:t>Boumediene</w:t>
      </w:r>
      <w:r>
        <w:rPr>
          <w:lang w:val="en-IE"/>
        </w:rPr>
        <w:t xml:space="preserve"> with Justice Kennedy delivering the opinion of the Court and finding that, as Guantánamo Bay is to all intends and purposes a territory of the </w:t>
      </w:r>
      <w:r w:rsidR="005E11C6">
        <w:rPr>
          <w:lang w:val="en-IE"/>
        </w:rPr>
        <w:t>US</w:t>
      </w:r>
      <w:r>
        <w:rPr>
          <w:lang w:val="en-IE"/>
        </w:rPr>
        <w:t xml:space="preserve"> giving it </w:t>
      </w:r>
      <w:r>
        <w:rPr>
          <w:i/>
          <w:iCs/>
          <w:lang w:val="en-IE"/>
        </w:rPr>
        <w:t xml:space="preserve">de facto </w:t>
      </w:r>
      <w:r>
        <w:rPr>
          <w:lang w:val="en-IE"/>
        </w:rPr>
        <w:t xml:space="preserve">sovereignty over the base, and as </w:t>
      </w:r>
      <w:r>
        <w:rPr>
          <w:i/>
          <w:iCs/>
          <w:lang w:val="en-IE"/>
        </w:rPr>
        <w:t xml:space="preserve">habeas corpus </w:t>
      </w:r>
      <w:r>
        <w:rPr>
          <w:lang w:val="en-IE"/>
        </w:rPr>
        <w:t>“</w:t>
      </w:r>
      <w:r w:rsidRPr="00087316">
        <w:t xml:space="preserve">must </w:t>
      </w:r>
      <w:r w:rsidRPr="00087316">
        <w:lastRenderedPageBreak/>
        <w:t>not be subject to manipulation by those whose power it is designed to restrain</w:t>
      </w:r>
      <w:r>
        <w:t>”,</w:t>
      </w:r>
      <w:r>
        <w:rPr>
          <w:rStyle w:val="FootnoteReference"/>
        </w:rPr>
        <w:footnoteReference w:id="24"/>
      </w:r>
      <w:r>
        <w:t xml:space="preserve"> at least some constitutional rights applied to those detained there. Although the exact scope of those rights was unclear, there was and is little question that constitutional </w:t>
      </w:r>
      <w:r>
        <w:rPr>
          <w:i/>
          <w:iCs/>
        </w:rPr>
        <w:t>habeas corpus</w:t>
      </w:r>
      <w:r>
        <w:t xml:space="preserve"> is among them.</w:t>
      </w:r>
    </w:p>
    <w:p w:rsidR="008E6F49" w:rsidRDefault="008E6F49" w:rsidP="00FB7228">
      <w:pPr>
        <w:spacing w:line="360" w:lineRule="auto"/>
        <w:ind w:hanging="22"/>
      </w:pPr>
    </w:p>
    <w:p w:rsidR="008E6F49" w:rsidRPr="0094288C" w:rsidRDefault="005E11C6" w:rsidP="00FB7228">
      <w:pPr>
        <w:spacing w:line="360" w:lineRule="auto"/>
        <w:ind w:hanging="22"/>
        <w:rPr>
          <w:lang w:val="en-IE"/>
        </w:rPr>
      </w:pPr>
      <w:r>
        <w:t>The</w:t>
      </w:r>
      <w:r w:rsidR="008E6F49">
        <w:t xml:space="preserve"> political system, including the President, was left with two options</w:t>
      </w:r>
      <w:r w:rsidR="0094371E">
        <w:t>:</w:t>
      </w:r>
      <w:r w:rsidR="008E6F49">
        <w:t xml:space="preserve"> constitutional </w:t>
      </w:r>
      <w:r w:rsidR="008E6F49">
        <w:rPr>
          <w:i/>
          <w:iCs/>
        </w:rPr>
        <w:t>habeas corpus</w:t>
      </w:r>
      <w:r w:rsidR="008E6F49">
        <w:t xml:space="preserve"> would be suspended</w:t>
      </w:r>
      <w:r w:rsidR="008E6577">
        <w:t xml:space="preserve"> </w:t>
      </w:r>
      <w:r w:rsidR="008E6F49">
        <w:t xml:space="preserve">(an option that does not seem to have been seriously contemplated), or ways of exercising that constitutional right would have to be designed. Either way it was clear that, in the absence of a suspension, the rationale for the use of Guantánamo Bay’s continued use as a detention centre for suspected terrorists had been fatally undermined by the Supreme Court. This, perhaps, made it easier for Barack Obama to commit to closing Guantánamo Bay during the 2008 presidential campaign and, indeed, to make one of the first acts of </w:t>
      </w:r>
      <w:r w:rsidR="008E6577">
        <w:t>his presidency the signing of</w:t>
      </w:r>
      <w:r w:rsidR="008E6F49">
        <w:t xml:space="preserve"> Executive Order</w:t>
      </w:r>
      <w:r w:rsidR="008E6577">
        <w:t>s</w:t>
      </w:r>
      <w:r w:rsidR="008E6F49">
        <w:t xml:space="preserve"> directed towards closure within a year of his inauguration.</w:t>
      </w:r>
      <w:r w:rsidR="008E6F49">
        <w:rPr>
          <w:rStyle w:val="FootnoteReference"/>
        </w:rPr>
        <w:footnoteReference w:id="25"/>
      </w:r>
      <w:r w:rsidR="008E6F49">
        <w:t xml:space="preserve"> Making the promise was relatively easy</w:t>
      </w:r>
      <w:r w:rsidR="00DB5DE7">
        <w:t>, but events over the past two</w:t>
      </w:r>
      <w:r w:rsidR="008E6F49">
        <w:t xml:space="preserve"> years have demonstrated how keeping that promise proved almost insurmountably difficult.</w:t>
      </w:r>
    </w:p>
    <w:p w:rsidR="008E6F49" w:rsidRPr="00FB7228" w:rsidRDefault="008E6F49" w:rsidP="00FB7228">
      <w:pPr>
        <w:spacing w:line="360" w:lineRule="auto"/>
        <w:ind w:left="1440" w:hanging="1440"/>
        <w:rPr>
          <w:lang w:val="en-IE"/>
        </w:rPr>
      </w:pPr>
    </w:p>
    <w:p w:rsidR="008E6F49" w:rsidRDefault="008E6F49" w:rsidP="00935211">
      <w:pPr>
        <w:spacing w:line="360" w:lineRule="auto"/>
        <w:rPr>
          <w:b/>
          <w:bCs/>
          <w:lang w:val="en-IE"/>
        </w:rPr>
      </w:pPr>
      <w:r>
        <w:rPr>
          <w:b/>
          <w:bCs/>
          <w:lang w:val="en-IE"/>
        </w:rPr>
        <w:t>Part III</w:t>
      </w:r>
      <w:r>
        <w:rPr>
          <w:b/>
          <w:bCs/>
          <w:lang w:val="en-IE"/>
        </w:rPr>
        <w:tab/>
        <w:t xml:space="preserve">Obama’s Broken Promise </w:t>
      </w:r>
      <w:r>
        <w:rPr>
          <w:b/>
          <w:bCs/>
          <w:i/>
          <w:iCs/>
          <w:lang w:val="en-IE"/>
        </w:rPr>
        <w:t>or</w:t>
      </w:r>
      <w:r>
        <w:rPr>
          <w:b/>
          <w:bCs/>
          <w:lang w:val="en-IE"/>
        </w:rPr>
        <w:t xml:space="preserve"> The </w:t>
      </w:r>
      <w:r w:rsidR="00DB5DE7">
        <w:rPr>
          <w:b/>
          <w:bCs/>
          <w:lang w:val="en-IE"/>
        </w:rPr>
        <w:t>Triumph</w:t>
      </w:r>
      <w:r>
        <w:rPr>
          <w:b/>
          <w:bCs/>
          <w:lang w:val="en-IE"/>
        </w:rPr>
        <w:t xml:space="preserve"> of Politics</w:t>
      </w:r>
    </w:p>
    <w:p w:rsidR="008E6F49" w:rsidRDefault="008E6F49" w:rsidP="00935211">
      <w:pPr>
        <w:spacing w:line="360" w:lineRule="auto"/>
        <w:rPr>
          <w:b/>
          <w:bCs/>
          <w:lang w:val="en-IE"/>
        </w:rPr>
      </w:pPr>
    </w:p>
    <w:p w:rsidR="00EB5919" w:rsidRDefault="00496B38" w:rsidP="00935211">
      <w:pPr>
        <w:spacing w:line="360" w:lineRule="auto"/>
        <w:rPr>
          <w:lang w:val="en-IE"/>
        </w:rPr>
      </w:pPr>
      <w:r>
        <w:rPr>
          <w:lang w:val="en-IE"/>
        </w:rPr>
        <w:t>Although President</w:t>
      </w:r>
      <w:r w:rsidR="008E6F49">
        <w:rPr>
          <w:lang w:val="en-IE"/>
        </w:rPr>
        <w:t xml:space="preserve"> Obama’s Guantánamo Orders</w:t>
      </w:r>
      <w:r>
        <w:rPr>
          <w:lang w:val="en-IE"/>
        </w:rPr>
        <w:t xml:space="preserve"> </w:t>
      </w:r>
      <w:r w:rsidR="008E6F49">
        <w:rPr>
          <w:lang w:val="en-IE"/>
        </w:rPr>
        <w:t>were positive indicators of his desire to bring counter-terrorist detention at the camp to an end</w:t>
      </w:r>
      <w:r>
        <w:rPr>
          <w:lang w:val="en-IE"/>
        </w:rPr>
        <w:t>,</w:t>
      </w:r>
      <w:r w:rsidR="008E6F49">
        <w:rPr>
          <w:lang w:val="en-IE"/>
        </w:rPr>
        <w:t xml:space="preserve"> it is difficult to disagree with David Jenkins’ description of </w:t>
      </w:r>
      <w:r w:rsidR="00335681">
        <w:rPr>
          <w:lang w:val="en-IE"/>
        </w:rPr>
        <w:t>them as</w:t>
      </w:r>
      <w:r w:rsidR="008E6F49">
        <w:rPr>
          <w:lang w:val="en-IE"/>
        </w:rPr>
        <w:t xml:space="preserve"> “principled but cautiously pragmatic”</w:t>
      </w:r>
      <w:r w:rsidR="00693948">
        <w:rPr>
          <w:lang w:val="en-IE"/>
        </w:rPr>
        <w:t>.</w:t>
      </w:r>
      <w:r w:rsidR="00693948">
        <w:rPr>
          <w:rStyle w:val="FootnoteReference"/>
          <w:lang w:val="en-IE"/>
        </w:rPr>
        <w:footnoteReference w:id="26"/>
      </w:r>
      <w:r w:rsidR="00693948">
        <w:rPr>
          <w:lang w:val="en-IE"/>
        </w:rPr>
        <w:t xml:space="preserve"> This is especially so</w:t>
      </w:r>
      <w:r w:rsidR="008E6F49">
        <w:rPr>
          <w:lang w:val="en-IE"/>
        </w:rPr>
        <w:t xml:space="preserve"> when one considers the open-ended and somewhat vague language used, by which the </w:t>
      </w:r>
      <w:r w:rsidR="00EB5919">
        <w:rPr>
          <w:lang w:val="en-IE"/>
        </w:rPr>
        <w:t>President committed to ensure “[t]</w:t>
      </w:r>
      <w:r w:rsidR="008E6F49">
        <w:rPr>
          <w:lang w:val="en-IE"/>
        </w:rPr>
        <w:t>o the extent practicable, the prompt and appropriate disposition of the individuals” detained there.</w:t>
      </w:r>
      <w:r w:rsidR="00EB5919">
        <w:rPr>
          <w:rStyle w:val="FootnoteReference"/>
          <w:lang w:val="en-IE"/>
        </w:rPr>
        <w:footnoteReference w:id="27"/>
      </w:r>
      <w:r w:rsidR="008E6F49">
        <w:rPr>
          <w:lang w:val="en-IE"/>
        </w:rPr>
        <w:t xml:space="preserve"> In other words, while there was a f</w:t>
      </w:r>
      <w:r w:rsidR="00784193">
        <w:rPr>
          <w:lang w:val="en-IE"/>
        </w:rPr>
        <w:t>irm</w:t>
      </w:r>
      <w:r w:rsidR="008E6F49">
        <w:rPr>
          <w:lang w:val="en-IE"/>
        </w:rPr>
        <w:t xml:space="preserve"> commitment to close Guantánamo Bay within one year of the Orders being issued,</w:t>
      </w:r>
      <w:r w:rsidR="00EB5919">
        <w:rPr>
          <w:rStyle w:val="FootnoteReference"/>
          <w:lang w:val="en-IE"/>
        </w:rPr>
        <w:footnoteReference w:id="28"/>
      </w:r>
      <w:r w:rsidR="008E6F49">
        <w:rPr>
          <w:lang w:val="en-IE"/>
        </w:rPr>
        <w:t xml:space="preserve"> there were no firm recommendations or decisions taken as to what would be done with those detainees who were held there. It fell to the Guantánamo Bay Task Force, made up of </w:t>
      </w:r>
      <w:r w:rsidR="008E6F49">
        <w:rPr>
          <w:lang w:val="en-IE"/>
        </w:rPr>
        <w:lastRenderedPageBreak/>
        <w:t xml:space="preserve">members of the Departments of Justice, Defence, State, and Homeland Security together with representatives of the Office of the Director of National Intelligence and the Joint Chiefs of Staff to engage in a detainee-by-detainee review through which some avenues towards closure could be identified. </w:t>
      </w:r>
    </w:p>
    <w:p w:rsidR="00EB5919" w:rsidRDefault="00EB5919" w:rsidP="00935211">
      <w:pPr>
        <w:spacing w:line="360" w:lineRule="auto"/>
        <w:rPr>
          <w:lang w:val="en-IE"/>
        </w:rPr>
      </w:pPr>
    </w:p>
    <w:p w:rsidR="008E6F49" w:rsidRDefault="008E6F49" w:rsidP="00935211">
      <w:pPr>
        <w:spacing w:line="360" w:lineRule="auto"/>
        <w:rPr>
          <w:lang w:val="en-IE"/>
        </w:rPr>
      </w:pPr>
      <w:r>
        <w:rPr>
          <w:lang w:val="en-IE"/>
        </w:rPr>
        <w:t>In this review,</w:t>
      </w:r>
      <w:r w:rsidR="00E04052">
        <w:rPr>
          <w:rStyle w:val="FootnoteReference"/>
          <w:lang w:val="en-IE"/>
        </w:rPr>
        <w:footnoteReference w:id="29"/>
      </w:r>
      <w:r>
        <w:rPr>
          <w:lang w:val="en-IE"/>
        </w:rPr>
        <w:t xml:space="preserve"> released in January 2010, four categories of detainees were identified from the 240 then in Guantánamo Bay. First were individuals who should be</w:t>
      </w:r>
      <w:r w:rsidR="008A1751">
        <w:rPr>
          <w:lang w:val="en-IE"/>
        </w:rPr>
        <w:t xml:space="preserve"> released and/or</w:t>
      </w:r>
      <w:r>
        <w:rPr>
          <w:lang w:val="en-IE"/>
        </w:rPr>
        <w:t xml:space="preserve"> transferred of whom there we</w:t>
      </w:r>
      <w:r w:rsidR="00EB5919">
        <w:rPr>
          <w:lang w:val="en-IE"/>
        </w:rPr>
        <w:t>re 126;</w:t>
      </w:r>
      <w:r>
        <w:rPr>
          <w:lang w:val="en-IE"/>
        </w:rPr>
        <w:t xml:space="preserve"> second were det</w:t>
      </w:r>
      <w:r w:rsidR="008A1751">
        <w:rPr>
          <w:lang w:val="en-IE"/>
        </w:rPr>
        <w:t xml:space="preserve">ainees who should be prosecuted, </w:t>
      </w:r>
      <w:r>
        <w:rPr>
          <w:lang w:val="en-IE"/>
        </w:rPr>
        <w:t>of whom there were said to be 46</w:t>
      </w:r>
      <w:r w:rsidR="00EB5919">
        <w:rPr>
          <w:lang w:val="en-IE"/>
        </w:rPr>
        <w:t>;</w:t>
      </w:r>
      <w:r>
        <w:rPr>
          <w:lang w:val="en-IE"/>
        </w:rPr>
        <w:t xml:space="preserve"> third were detainees who should be detained as a result of their dangerousness but in relation to whom prosecutions were considered i</w:t>
      </w:r>
      <w:r w:rsidR="00EB5919">
        <w:rPr>
          <w:lang w:val="en-IE"/>
        </w:rPr>
        <w:t>nfeasible</w:t>
      </w:r>
      <w:r w:rsidR="008A1751">
        <w:rPr>
          <w:lang w:val="en-IE"/>
        </w:rPr>
        <w:t>,</w:t>
      </w:r>
      <w:r w:rsidR="00EB5919">
        <w:rPr>
          <w:lang w:val="en-IE"/>
        </w:rPr>
        <w:t xml:space="preserve"> of whom there were 48;</w:t>
      </w:r>
      <w:r>
        <w:rPr>
          <w:lang w:val="en-IE"/>
        </w:rPr>
        <w:t xml:space="preserve"> and finally there were 30 Yemeni detainees approved for ‘conditional’ transfer i.e. approved for transfer but not to Yemen given the volatile situation in the country. And so, although the Report identifies four categories of detainees, there were really three: those to be </w:t>
      </w:r>
      <w:r w:rsidR="00EB5919">
        <w:rPr>
          <w:lang w:val="en-IE"/>
        </w:rPr>
        <w:t xml:space="preserve">released or </w:t>
      </w:r>
      <w:r>
        <w:rPr>
          <w:lang w:val="en-IE"/>
        </w:rPr>
        <w:t xml:space="preserve">transferred, those to be prosecuted, and those to be detained without trial. It is useful to consider the demise of the </w:t>
      </w:r>
      <w:r w:rsidR="008A1751">
        <w:rPr>
          <w:lang w:val="en-IE"/>
        </w:rPr>
        <w:t>Guantánamo</w:t>
      </w:r>
      <w:r>
        <w:rPr>
          <w:lang w:val="en-IE"/>
        </w:rPr>
        <w:t xml:space="preserve"> closure strategy by reference to each of these groups individually.</w:t>
      </w:r>
    </w:p>
    <w:p w:rsidR="008E6F49" w:rsidRDefault="008E6F49" w:rsidP="00935211">
      <w:pPr>
        <w:spacing w:line="360" w:lineRule="auto"/>
        <w:rPr>
          <w:lang w:val="en-IE"/>
        </w:rPr>
      </w:pPr>
    </w:p>
    <w:p w:rsidR="008E6F49" w:rsidRPr="000D2BCD" w:rsidRDefault="008E6F49" w:rsidP="00935211">
      <w:pPr>
        <w:spacing w:line="360" w:lineRule="auto"/>
        <w:rPr>
          <w:b/>
          <w:iCs/>
          <w:lang w:val="en-IE"/>
        </w:rPr>
      </w:pPr>
      <w:r w:rsidRPr="000D2BCD">
        <w:rPr>
          <w:b/>
          <w:i/>
          <w:iCs/>
          <w:lang w:val="en-IE"/>
        </w:rPr>
        <w:t>Detainees eligible for transfer</w:t>
      </w:r>
    </w:p>
    <w:p w:rsidR="00B8768B" w:rsidRDefault="00B8768B" w:rsidP="00935211">
      <w:pPr>
        <w:spacing w:line="360" w:lineRule="auto"/>
        <w:rPr>
          <w:iCs/>
          <w:lang w:val="en-IE"/>
        </w:rPr>
      </w:pPr>
    </w:p>
    <w:p w:rsidR="009C53E0" w:rsidRDefault="00B8768B" w:rsidP="00935211">
      <w:pPr>
        <w:spacing w:line="360" w:lineRule="auto"/>
        <w:rPr>
          <w:iCs/>
          <w:lang w:val="en-IE"/>
        </w:rPr>
      </w:pPr>
      <w:r>
        <w:rPr>
          <w:iCs/>
          <w:lang w:val="en-IE"/>
        </w:rPr>
        <w:t>One of the priorities of the Task Force was to identify those detainees who were eligible for release or transfer in a manner “consistent with the national security and foreign policy interests of the United States”</w:t>
      </w:r>
      <w:r w:rsidR="008133CB">
        <w:rPr>
          <w:iCs/>
          <w:lang w:val="en-IE"/>
        </w:rPr>
        <w:t>.</w:t>
      </w:r>
      <w:r w:rsidR="008133CB">
        <w:rPr>
          <w:rStyle w:val="FootnoteReference"/>
          <w:iCs/>
          <w:lang w:val="en-IE"/>
        </w:rPr>
        <w:footnoteReference w:id="30"/>
      </w:r>
      <w:r>
        <w:rPr>
          <w:iCs/>
          <w:lang w:val="en-IE"/>
        </w:rPr>
        <w:t xml:space="preserve"> Before the Task Force began its work there were 59 </w:t>
      </w:r>
      <w:r w:rsidR="00784193">
        <w:rPr>
          <w:iCs/>
          <w:lang w:val="en-IE"/>
        </w:rPr>
        <w:t>individuals</w:t>
      </w:r>
      <w:r>
        <w:rPr>
          <w:iCs/>
          <w:lang w:val="en-IE"/>
        </w:rPr>
        <w:t xml:space="preserve"> who had been approved for transfer or release but were still in det</w:t>
      </w:r>
      <w:r w:rsidR="009C53E0">
        <w:rPr>
          <w:iCs/>
          <w:lang w:val="en-IE"/>
        </w:rPr>
        <w:t xml:space="preserve">ention, primarily because </w:t>
      </w:r>
      <w:r>
        <w:rPr>
          <w:iCs/>
          <w:lang w:val="en-IE"/>
        </w:rPr>
        <w:t xml:space="preserve">repatriation to their countries of origin was inconsistent with the United States’ policy on post-release treatment. In other words, there were concerns about their possible subjection to unlawful treatment upon return and </w:t>
      </w:r>
      <w:r w:rsidR="00784193">
        <w:rPr>
          <w:iCs/>
          <w:lang w:val="en-IE"/>
        </w:rPr>
        <w:t xml:space="preserve">efforts were underway to transfer </w:t>
      </w:r>
      <w:r w:rsidR="00F1627A">
        <w:rPr>
          <w:iCs/>
          <w:lang w:val="en-IE"/>
        </w:rPr>
        <w:t>them to third countries</w:t>
      </w:r>
      <w:r>
        <w:rPr>
          <w:iCs/>
          <w:lang w:val="en-IE"/>
        </w:rPr>
        <w:t xml:space="preserve">. Of the </w:t>
      </w:r>
      <w:r w:rsidR="00784193">
        <w:rPr>
          <w:iCs/>
          <w:lang w:val="en-IE"/>
        </w:rPr>
        <w:t>addition</w:t>
      </w:r>
      <w:r w:rsidR="00F1627A">
        <w:rPr>
          <w:iCs/>
          <w:lang w:val="en-IE"/>
        </w:rPr>
        <w:t>al</w:t>
      </w:r>
      <w:r w:rsidR="00784193">
        <w:rPr>
          <w:iCs/>
          <w:lang w:val="en-IE"/>
        </w:rPr>
        <w:t xml:space="preserve"> </w:t>
      </w:r>
      <w:r>
        <w:rPr>
          <w:iCs/>
          <w:lang w:val="en-IE"/>
        </w:rPr>
        <w:t xml:space="preserve">detainees </w:t>
      </w:r>
      <w:r w:rsidR="00784193">
        <w:rPr>
          <w:iCs/>
          <w:lang w:val="en-IE"/>
        </w:rPr>
        <w:t xml:space="preserve">that the Task Force considered ought to be </w:t>
      </w:r>
      <w:r>
        <w:rPr>
          <w:iCs/>
          <w:lang w:val="en-IE"/>
        </w:rPr>
        <w:t>clear</w:t>
      </w:r>
      <w:r w:rsidR="00F1627A">
        <w:rPr>
          <w:iCs/>
          <w:lang w:val="en-IE"/>
        </w:rPr>
        <w:t xml:space="preserve">ed for release or transfer, they </w:t>
      </w:r>
      <w:r>
        <w:rPr>
          <w:iCs/>
          <w:lang w:val="en-IE"/>
        </w:rPr>
        <w:t xml:space="preserve">determined that 39 could not be returned to their countries of origin on the basis of the principle of </w:t>
      </w:r>
      <w:r>
        <w:rPr>
          <w:i/>
          <w:iCs/>
          <w:lang w:val="en-IE"/>
        </w:rPr>
        <w:t>non-refoulement</w:t>
      </w:r>
      <w:r>
        <w:rPr>
          <w:iCs/>
          <w:lang w:val="en-IE"/>
        </w:rPr>
        <w:t xml:space="preserve">. That, then, became the first difficulty that President Obama had to negotiate: </w:t>
      </w:r>
      <w:r w:rsidR="00784193">
        <w:rPr>
          <w:iCs/>
          <w:lang w:val="en-IE"/>
        </w:rPr>
        <w:t xml:space="preserve">to seek agreement from third countries to accept such individuals </w:t>
      </w:r>
      <w:r w:rsidR="00F1627A">
        <w:rPr>
          <w:iCs/>
          <w:lang w:val="en-IE"/>
        </w:rPr>
        <w:t>bearing in mind</w:t>
      </w:r>
      <w:r w:rsidR="00784193">
        <w:rPr>
          <w:iCs/>
          <w:lang w:val="en-IE"/>
        </w:rPr>
        <w:t xml:space="preserve"> the difficulties, expense and perhaps controversy that would possibly follow such agreement in the internal politics of the third countries </w:t>
      </w:r>
      <w:r w:rsidR="00784193">
        <w:rPr>
          <w:iCs/>
          <w:lang w:val="en-IE"/>
        </w:rPr>
        <w:lastRenderedPageBreak/>
        <w:t>themselves.</w:t>
      </w:r>
      <w:r w:rsidR="0042774A">
        <w:rPr>
          <w:iCs/>
          <w:lang w:val="en-IE"/>
        </w:rPr>
        <w:t xml:space="preserve"> The</w:t>
      </w:r>
      <w:r w:rsidR="00C133C0">
        <w:rPr>
          <w:iCs/>
          <w:lang w:val="en-IE"/>
        </w:rPr>
        <w:t xml:space="preserve"> United States’ concerns relating to</w:t>
      </w:r>
      <w:r w:rsidR="0042774A">
        <w:rPr>
          <w:iCs/>
          <w:lang w:val="en-IE"/>
        </w:rPr>
        <w:t xml:space="preserve"> </w:t>
      </w:r>
      <w:r w:rsidR="0042774A">
        <w:rPr>
          <w:i/>
          <w:iCs/>
          <w:lang w:val="en-IE"/>
        </w:rPr>
        <w:t>refoulement</w:t>
      </w:r>
      <w:r w:rsidR="0042774A">
        <w:rPr>
          <w:iCs/>
          <w:lang w:val="en-IE"/>
        </w:rPr>
        <w:t xml:space="preserve"> should, however, be seen in their proper context of state practice of the United States since 2001. </w:t>
      </w:r>
      <w:r w:rsidR="0042774A">
        <w:rPr>
          <w:lang w:val="en-IE"/>
        </w:rPr>
        <w:t>Both the Bush and Obama administrations have transferred individuals into the hands</w:t>
      </w:r>
      <w:r w:rsidR="00125C66">
        <w:rPr>
          <w:lang w:val="en-IE"/>
        </w:rPr>
        <w:t xml:space="preserve"> of other states </w:t>
      </w:r>
      <w:r w:rsidR="00554AC0">
        <w:rPr>
          <w:lang w:val="en-IE"/>
        </w:rPr>
        <w:t xml:space="preserve">in apparent breach of the principle of </w:t>
      </w:r>
      <w:r w:rsidR="00554AC0">
        <w:rPr>
          <w:i/>
          <w:lang w:val="en-IE"/>
        </w:rPr>
        <w:t>non-refoulement</w:t>
      </w:r>
      <w:r w:rsidR="00554AC0">
        <w:rPr>
          <w:lang w:val="en-IE"/>
        </w:rPr>
        <w:t>.</w:t>
      </w:r>
      <w:r w:rsidR="00125C66">
        <w:rPr>
          <w:lang w:val="en-IE"/>
        </w:rPr>
        <w:t xml:space="preserve"> </w:t>
      </w:r>
      <w:r w:rsidR="00554AC0">
        <w:rPr>
          <w:lang w:val="en-IE"/>
        </w:rPr>
        <w:t>This</w:t>
      </w:r>
      <w:r w:rsidR="00125C66">
        <w:rPr>
          <w:lang w:val="en-IE"/>
        </w:rPr>
        <w:t xml:space="preserve"> was done a</w:t>
      </w:r>
      <w:r w:rsidR="0042774A">
        <w:rPr>
          <w:lang w:val="en-IE"/>
        </w:rPr>
        <w:t>s a routine and central part of the extraordin</w:t>
      </w:r>
      <w:r w:rsidR="00F1627A">
        <w:rPr>
          <w:lang w:val="en-IE"/>
        </w:rPr>
        <w:t>ary rendition progtamme</w:t>
      </w:r>
      <w:r w:rsidR="0042774A">
        <w:rPr>
          <w:lang w:val="en-IE"/>
        </w:rPr>
        <w:t>,</w:t>
      </w:r>
      <w:r w:rsidR="0042774A">
        <w:rPr>
          <w:rStyle w:val="FootnoteReference"/>
          <w:lang w:val="en-IE"/>
        </w:rPr>
        <w:footnoteReference w:id="31"/>
      </w:r>
      <w:r w:rsidR="0042774A">
        <w:rPr>
          <w:lang w:val="en-IE"/>
        </w:rPr>
        <w:t xml:space="preserve"> </w:t>
      </w:r>
      <w:r w:rsidR="00BF08BF">
        <w:rPr>
          <w:lang w:val="en-IE"/>
        </w:rPr>
        <w:t xml:space="preserve">but </w:t>
      </w:r>
      <w:r w:rsidR="00554AC0">
        <w:rPr>
          <w:lang w:val="en-IE"/>
        </w:rPr>
        <w:t>also in situations that appeared more benign.</w:t>
      </w:r>
      <w:r w:rsidR="00BA5168">
        <w:rPr>
          <w:lang w:val="en-IE"/>
        </w:rPr>
        <w:t xml:space="preserve"> In early 2011, for example, </w:t>
      </w:r>
      <w:r w:rsidR="00BF08BF">
        <w:rPr>
          <w:lang w:val="en-IE"/>
        </w:rPr>
        <w:t xml:space="preserve">President </w:t>
      </w:r>
      <w:r w:rsidR="00BA5168">
        <w:rPr>
          <w:lang w:val="en-IE"/>
        </w:rPr>
        <w:t>Obama</w:t>
      </w:r>
      <w:r w:rsidR="00BF08BF">
        <w:rPr>
          <w:lang w:val="en-IE"/>
        </w:rPr>
        <w:t xml:space="preserve"> transferred </w:t>
      </w:r>
      <w:r w:rsidR="00BA5168">
        <w:t xml:space="preserve">Farhi Saeed Bin Mohammed </w:t>
      </w:r>
      <w:r w:rsidR="00BF08BF">
        <w:rPr>
          <w:lang w:val="en-IE"/>
        </w:rPr>
        <w:t xml:space="preserve">to </w:t>
      </w:r>
      <w:r w:rsidR="00BA5168">
        <w:rPr>
          <w:lang w:val="en-IE"/>
        </w:rPr>
        <w:t xml:space="preserve">Algeria in spite of his claims that this placed him at risk of torture </w:t>
      </w:r>
      <w:r w:rsidR="00BA5168">
        <w:rPr>
          <w:i/>
          <w:lang w:val="en-IE"/>
        </w:rPr>
        <w:t>and</w:t>
      </w:r>
      <w:r w:rsidR="00BA5168">
        <w:rPr>
          <w:lang w:val="en-IE"/>
        </w:rPr>
        <w:t xml:space="preserve"> without regard to ongoing proceeds by Mohammed attempting to restrain such a transfer.</w:t>
      </w:r>
      <w:r w:rsidR="00BA5168">
        <w:rPr>
          <w:rStyle w:val="FootnoteReference"/>
          <w:lang w:val="en-IE"/>
        </w:rPr>
        <w:footnoteReference w:id="32"/>
      </w:r>
      <w:r w:rsidR="00BF08BF">
        <w:rPr>
          <w:lang w:val="en-IE"/>
        </w:rPr>
        <w:t xml:space="preserve"> </w:t>
      </w:r>
      <w:r w:rsidR="00BA5168">
        <w:rPr>
          <w:lang w:val="en-IE"/>
        </w:rPr>
        <w:t xml:space="preserve"> Following the transfer the Department of Justice applied for the proceedings to be struck out on the basis of mootness.</w:t>
      </w:r>
      <w:r w:rsidR="00BE0EBA">
        <w:rPr>
          <w:rStyle w:val="FootnoteReference"/>
          <w:lang w:val="en-IE"/>
        </w:rPr>
        <w:footnoteReference w:id="33"/>
      </w:r>
    </w:p>
    <w:p w:rsidR="009C53E0" w:rsidRDefault="009C53E0" w:rsidP="00935211">
      <w:pPr>
        <w:spacing w:line="360" w:lineRule="auto"/>
        <w:rPr>
          <w:iCs/>
          <w:lang w:val="en-IE"/>
        </w:rPr>
      </w:pPr>
    </w:p>
    <w:p w:rsidR="00535811" w:rsidRDefault="00554AC0" w:rsidP="00935211">
      <w:pPr>
        <w:spacing w:line="360" w:lineRule="auto"/>
        <w:rPr>
          <w:iCs/>
          <w:lang w:val="en-IE"/>
        </w:rPr>
      </w:pPr>
      <w:r>
        <w:rPr>
          <w:iCs/>
          <w:lang w:val="en-IE"/>
        </w:rPr>
        <w:t>A further difficulty in relation to detainees cleared for transfer or release is</w:t>
      </w:r>
      <w:r w:rsidR="00B8768B">
        <w:rPr>
          <w:iCs/>
          <w:lang w:val="en-IE"/>
        </w:rPr>
        <w:t xml:space="preserve"> </w:t>
      </w:r>
      <w:r w:rsidR="00535811">
        <w:rPr>
          <w:iCs/>
          <w:lang w:val="en-IE"/>
        </w:rPr>
        <w:t>the substantial number of Yemeni</w:t>
      </w:r>
      <w:r>
        <w:rPr>
          <w:iCs/>
          <w:lang w:val="en-IE"/>
        </w:rPr>
        <w:t>s</w:t>
      </w:r>
      <w:r w:rsidR="00B8768B">
        <w:rPr>
          <w:iCs/>
          <w:lang w:val="en-IE"/>
        </w:rPr>
        <w:t xml:space="preserve"> who could not be returned to </w:t>
      </w:r>
      <w:r w:rsidR="00CA1556">
        <w:rPr>
          <w:iCs/>
          <w:lang w:val="en-IE"/>
        </w:rPr>
        <w:t>Yemen</w:t>
      </w:r>
      <w:r w:rsidR="00B8768B">
        <w:rPr>
          <w:iCs/>
          <w:lang w:val="en-IE"/>
        </w:rPr>
        <w:t xml:space="preserve"> because of the volatility of the political situation there and fears </w:t>
      </w:r>
      <w:r w:rsidR="00065FC5">
        <w:rPr>
          <w:iCs/>
          <w:lang w:val="en-IE"/>
        </w:rPr>
        <w:t xml:space="preserve">that they might become involved in further and future terroristic activities. </w:t>
      </w:r>
      <w:r w:rsidR="00CA1556">
        <w:rPr>
          <w:iCs/>
          <w:lang w:val="en-IE"/>
        </w:rPr>
        <w:t xml:space="preserve">The potency of such a fear in the Task Force’s report appears at first counter-intuitive; one might assume that only individuals considered </w:t>
      </w:r>
      <w:r>
        <w:rPr>
          <w:iCs/>
          <w:lang w:val="en-IE"/>
        </w:rPr>
        <w:t>not to pose a threat</w:t>
      </w:r>
      <w:r w:rsidR="00CA1556">
        <w:rPr>
          <w:iCs/>
          <w:lang w:val="en-IE"/>
        </w:rPr>
        <w:t xml:space="preserve"> would be transferred or released, but in fact that is not the case at all:</w:t>
      </w:r>
    </w:p>
    <w:p w:rsidR="00535811" w:rsidRDefault="00535811" w:rsidP="00935211">
      <w:pPr>
        <w:spacing w:line="360" w:lineRule="auto"/>
        <w:rPr>
          <w:iCs/>
          <w:lang w:val="en-IE"/>
        </w:rPr>
      </w:pPr>
    </w:p>
    <w:p w:rsidR="00535811" w:rsidRDefault="00CA1556" w:rsidP="00535811">
      <w:pPr>
        <w:spacing w:line="360" w:lineRule="auto"/>
        <w:ind w:left="720"/>
        <w:rPr>
          <w:iCs/>
          <w:lang w:val="en-IE"/>
        </w:rPr>
      </w:pPr>
      <w:r>
        <w:rPr>
          <w:iCs/>
          <w:lang w:val="en-IE"/>
        </w:rPr>
        <w:t>“[A]</w:t>
      </w:r>
      <w:r w:rsidR="00065FC5">
        <w:rPr>
          <w:iCs/>
          <w:lang w:val="en-IE"/>
        </w:rPr>
        <w:t xml:space="preserve"> decision to approve a detainee for transfer does not reflect a decision that the detainee poses no threat or no risk of recidivism. Rather, the decision reflects the best predictive judgment of senior government officials…that any threat posed by the detainee can be sufficiently mitigated through feasible and appropriate security measures in the receiving country</w:t>
      </w:r>
      <w:r w:rsidR="00535811">
        <w:rPr>
          <w:iCs/>
          <w:lang w:val="en-IE"/>
        </w:rPr>
        <w:t>”</w:t>
      </w:r>
      <w:r w:rsidR="00535811">
        <w:rPr>
          <w:rStyle w:val="FootnoteReference"/>
          <w:iCs/>
          <w:lang w:val="en-IE"/>
        </w:rPr>
        <w:footnoteReference w:id="34"/>
      </w:r>
    </w:p>
    <w:p w:rsidR="00535811" w:rsidRDefault="00535811" w:rsidP="00935211">
      <w:pPr>
        <w:spacing w:line="360" w:lineRule="auto"/>
        <w:rPr>
          <w:iCs/>
          <w:lang w:val="en-IE"/>
        </w:rPr>
      </w:pPr>
    </w:p>
    <w:p w:rsidR="00CF074E" w:rsidRDefault="00DD240B" w:rsidP="00935211">
      <w:pPr>
        <w:spacing w:line="360" w:lineRule="auto"/>
        <w:rPr>
          <w:iCs/>
          <w:lang w:val="en-IE"/>
        </w:rPr>
      </w:pPr>
      <w:r>
        <w:rPr>
          <w:iCs/>
          <w:lang w:val="en-IE"/>
        </w:rPr>
        <w:t xml:space="preserve">The nature of the determination for release or transfer is, therefore, a somewhat </w:t>
      </w:r>
      <w:r w:rsidR="00535811">
        <w:rPr>
          <w:iCs/>
          <w:lang w:val="en-IE"/>
        </w:rPr>
        <w:t xml:space="preserve">curious </w:t>
      </w:r>
      <w:r>
        <w:rPr>
          <w:iCs/>
          <w:lang w:val="en-IE"/>
        </w:rPr>
        <w:t>one. On the one hand the individuals concerned are not dangerous enough to be detained without trial, have not done anything of which we are sufficiently certain (through admissible evidence) to prosecute</w:t>
      </w:r>
      <w:r w:rsidR="00CA1556">
        <w:rPr>
          <w:iCs/>
          <w:lang w:val="en-IE"/>
        </w:rPr>
        <w:t xml:space="preserve"> them for</w:t>
      </w:r>
      <w:r w:rsidR="00F1627A">
        <w:rPr>
          <w:iCs/>
          <w:lang w:val="en-IE"/>
        </w:rPr>
        <w:t>, but might</w:t>
      </w:r>
      <w:r>
        <w:rPr>
          <w:iCs/>
          <w:lang w:val="en-IE"/>
        </w:rPr>
        <w:t xml:space="preserve"> still be ‘dangerous’ and in need of surveillance. </w:t>
      </w:r>
      <w:r>
        <w:rPr>
          <w:iCs/>
          <w:lang w:val="en-IE"/>
        </w:rPr>
        <w:lastRenderedPageBreak/>
        <w:t>This is significant for it offers a particularly volatile spark to political opposition to closure as preceded by release or transfer. It adds to the voices—including that of Associate Justice Scalia</w:t>
      </w:r>
      <w:r w:rsidR="00535811">
        <w:rPr>
          <w:rStyle w:val="FootnoteReference"/>
          <w:iCs/>
          <w:lang w:val="en-IE"/>
        </w:rPr>
        <w:footnoteReference w:id="35"/>
      </w:r>
      <w:r>
        <w:rPr>
          <w:iCs/>
          <w:lang w:val="en-IE"/>
        </w:rPr>
        <w:t>—that warn of recidivism and ‘return to hostilities’ and are powerful advocates of continuing the practice of administrative detention without trial for the purposes of national security.</w:t>
      </w:r>
      <w:r w:rsidR="003C61B3">
        <w:rPr>
          <w:iCs/>
          <w:lang w:val="en-IE"/>
        </w:rPr>
        <w:t xml:space="preserve"> It also adds a level of credence to legislative attempts to obstruct transfer on the basis of suspected inability of receiving states to properly or adequately survey transferred detainees in order to ensure that they do not ‘return’ to violence (if, indeed, they were ever involved in suc</w:t>
      </w:r>
      <w:r w:rsidR="0042774A">
        <w:rPr>
          <w:iCs/>
          <w:lang w:val="en-IE"/>
        </w:rPr>
        <w:t xml:space="preserve">h violence in the first place). </w:t>
      </w:r>
    </w:p>
    <w:p w:rsidR="00CF074E" w:rsidRDefault="00CF074E" w:rsidP="00935211">
      <w:pPr>
        <w:spacing w:line="360" w:lineRule="auto"/>
        <w:rPr>
          <w:iCs/>
          <w:lang w:val="en-IE"/>
        </w:rPr>
      </w:pPr>
    </w:p>
    <w:p w:rsidR="00B8768B" w:rsidRDefault="0042774A" w:rsidP="00935211">
      <w:pPr>
        <w:spacing w:line="360" w:lineRule="auto"/>
        <w:rPr>
          <w:iCs/>
          <w:lang w:val="en-IE"/>
        </w:rPr>
      </w:pPr>
      <w:r>
        <w:t xml:space="preserve">Reflecting these kinds of concerns, </w:t>
      </w:r>
      <w:r w:rsidR="00F1627A">
        <w:t>as well as</w:t>
      </w:r>
      <w:r>
        <w:t xml:space="preserve"> a desire to wrest control over Guantánamo Bay policy out of the hands of the President and into the hands of the (now predominantly Republican) Congress, the </w:t>
      </w:r>
      <w:r w:rsidR="00CF074E">
        <w:t xml:space="preserve">National </w:t>
      </w:r>
      <w:r>
        <w:t>Defense Authorization Act for Fiscal Year 2011</w:t>
      </w:r>
      <w:r w:rsidR="00CF074E">
        <w:rPr>
          <w:rStyle w:val="FootnoteReference"/>
        </w:rPr>
        <w:footnoteReference w:id="36"/>
      </w:r>
      <w:r w:rsidR="00CF074E">
        <w:t xml:space="preserve"> includes restrictions on public expenditure for the </w:t>
      </w:r>
      <w:r>
        <w:t xml:space="preserve">transfer of detainees from Guantánamo Bay to </w:t>
      </w:r>
      <w:r w:rsidR="00CF074E">
        <w:t>third countries</w:t>
      </w:r>
      <w:r>
        <w:t xml:space="preserve">. </w:t>
      </w:r>
      <w:r w:rsidR="00CF074E">
        <w:t>Any such transfers are now to be subject to a</w:t>
      </w:r>
      <w:r>
        <w:t xml:space="preserve"> certification process at least 30 days prior to the transfer.</w:t>
      </w:r>
      <w:r>
        <w:rPr>
          <w:rStyle w:val="FootnoteReference"/>
        </w:rPr>
        <w:footnoteReference w:id="37"/>
      </w:r>
      <w:r>
        <w:t xml:space="preserve"> The certificate, which is to be done by the Secretary of Defense with the concurrence of the Secretary of State, should state that the country to which the individual is to be transferred is not a designated state sponsor of terrorism, maintains effective control over the detention facilities over which the individual is to be housed (if he is to be detained), does not face a threat that is likely to substantially impact upon its capacity to exercise control over the transferee, has agreed to take “effective steps” to make sure that the transferee cannot undertake activity that would threaten the US (or its allies) in the future, has taken satisfactory steps to prevent involvement in terrorist activities, and has agreed to share certain information with the US.</w:t>
      </w:r>
      <w:r>
        <w:rPr>
          <w:rStyle w:val="FootnoteReference"/>
        </w:rPr>
        <w:footnoteReference w:id="38"/>
      </w:r>
      <w:r>
        <w:t xml:space="preserve"> Thus, while transfers to third countries remain possible it would be fair to say that </w:t>
      </w:r>
      <w:r w:rsidR="000E01DE">
        <w:t xml:space="preserve">this makes them more difficult, </w:t>
      </w:r>
      <w:r w:rsidR="00960432">
        <w:t xml:space="preserve">on top of the already </w:t>
      </w:r>
      <w:r w:rsidR="000E01DE">
        <w:t>delicate</w:t>
      </w:r>
      <w:r w:rsidR="00960432">
        <w:t xml:space="preserve"> political and diplomatic task of </w:t>
      </w:r>
      <w:r w:rsidR="000E01DE">
        <w:t xml:space="preserve">convincing a state </w:t>
      </w:r>
      <w:r w:rsidR="008A588A">
        <w:t>to accept former detainees.</w:t>
      </w:r>
    </w:p>
    <w:p w:rsidR="003C61B3" w:rsidRDefault="003C61B3" w:rsidP="00935211">
      <w:pPr>
        <w:spacing w:line="360" w:lineRule="auto"/>
        <w:rPr>
          <w:iCs/>
          <w:lang w:val="en-IE"/>
        </w:rPr>
      </w:pPr>
    </w:p>
    <w:p w:rsidR="003C61B3" w:rsidRDefault="000E01DE" w:rsidP="00935211">
      <w:pPr>
        <w:spacing w:line="360" w:lineRule="auto"/>
        <w:rPr>
          <w:iCs/>
          <w:lang w:val="en-IE"/>
        </w:rPr>
      </w:pPr>
      <w:r>
        <w:rPr>
          <w:iCs/>
          <w:lang w:val="en-IE"/>
        </w:rPr>
        <w:t>One striking feature of</w:t>
      </w:r>
      <w:r w:rsidR="003C61B3">
        <w:rPr>
          <w:iCs/>
          <w:lang w:val="en-IE"/>
        </w:rPr>
        <w:t xml:space="preserve"> the recommendations for release or transfer is </w:t>
      </w:r>
      <w:r>
        <w:rPr>
          <w:iCs/>
          <w:lang w:val="en-IE"/>
        </w:rPr>
        <w:t>the absence of any real</w:t>
      </w:r>
      <w:r w:rsidR="00216E3F">
        <w:rPr>
          <w:iCs/>
          <w:lang w:val="en-IE"/>
        </w:rPr>
        <w:t xml:space="preserve"> consideration of </w:t>
      </w:r>
      <w:r>
        <w:rPr>
          <w:iCs/>
          <w:lang w:val="en-IE"/>
        </w:rPr>
        <w:t>transferring detainees</w:t>
      </w:r>
      <w:r w:rsidR="003C61B3">
        <w:rPr>
          <w:iCs/>
          <w:lang w:val="en-IE"/>
        </w:rPr>
        <w:t xml:space="preserve"> into the </w:t>
      </w:r>
      <w:r w:rsidR="00F1627A">
        <w:rPr>
          <w:iCs/>
          <w:lang w:val="en-IE"/>
        </w:rPr>
        <w:t>US</w:t>
      </w:r>
      <w:r w:rsidR="003C61B3">
        <w:rPr>
          <w:iCs/>
          <w:lang w:val="en-IE"/>
        </w:rPr>
        <w:t xml:space="preserve"> </w:t>
      </w:r>
      <w:r>
        <w:rPr>
          <w:iCs/>
          <w:lang w:val="en-IE"/>
        </w:rPr>
        <w:t>itself</w:t>
      </w:r>
      <w:r w:rsidR="003C61B3">
        <w:rPr>
          <w:iCs/>
          <w:lang w:val="en-IE"/>
        </w:rPr>
        <w:t>. The Task Force’s careful statement that release or transfer does not necessarily equate to innocence or to wrongful detention ha</w:t>
      </w:r>
      <w:r>
        <w:rPr>
          <w:iCs/>
          <w:lang w:val="en-IE"/>
        </w:rPr>
        <w:t xml:space="preserve">s the impact of reinforcing </w:t>
      </w:r>
      <w:r w:rsidR="003C61B3">
        <w:rPr>
          <w:iCs/>
          <w:lang w:val="en-IE"/>
        </w:rPr>
        <w:t>suspicions attached to those who would</w:t>
      </w:r>
      <w:r>
        <w:rPr>
          <w:iCs/>
          <w:lang w:val="en-IE"/>
        </w:rPr>
        <w:t xml:space="preserve"> be released from Guantánamo Bay, but in</w:t>
      </w:r>
      <w:r w:rsidR="00991C63">
        <w:rPr>
          <w:iCs/>
          <w:lang w:val="en-IE"/>
        </w:rPr>
        <w:t xml:space="preserve"> many ways the refusal to properly consider their transfer into the </w:t>
      </w:r>
      <w:r w:rsidR="00991C63">
        <w:rPr>
          <w:iCs/>
          <w:lang w:val="en-IE"/>
        </w:rPr>
        <w:lastRenderedPageBreak/>
        <w:t>m</w:t>
      </w:r>
      <w:r w:rsidR="00216E3F">
        <w:rPr>
          <w:iCs/>
          <w:lang w:val="en-IE"/>
        </w:rPr>
        <w:t>ainland United States seems non</w:t>
      </w:r>
      <w:r w:rsidR="00991C63">
        <w:rPr>
          <w:iCs/>
          <w:lang w:val="en-IE"/>
        </w:rPr>
        <w:t xml:space="preserve">sensical from a security perspective. Firstly any argument that these individuals would receive constitutional rights upon residence in the </w:t>
      </w:r>
      <w:r w:rsidR="00F1627A">
        <w:rPr>
          <w:iCs/>
          <w:lang w:val="en-IE"/>
        </w:rPr>
        <w:t>US</w:t>
      </w:r>
      <w:r w:rsidR="00991C63">
        <w:rPr>
          <w:iCs/>
          <w:lang w:val="en-IE"/>
        </w:rPr>
        <w:t xml:space="preserve"> (which is long established as the case</w:t>
      </w:r>
      <w:r w:rsidR="00216E3F">
        <w:rPr>
          <w:rStyle w:val="FootnoteReference"/>
          <w:iCs/>
          <w:lang w:val="en-IE"/>
        </w:rPr>
        <w:footnoteReference w:id="39"/>
      </w:r>
      <w:r w:rsidR="00991C63">
        <w:rPr>
          <w:iCs/>
          <w:lang w:val="en-IE"/>
        </w:rPr>
        <w:t xml:space="preserve">) is </w:t>
      </w:r>
      <w:r>
        <w:rPr>
          <w:iCs/>
          <w:lang w:val="en-IE"/>
        </w:rPr>
        <w:t>made somewhat redundant</w:t>
      </w:r>
      <w:r w:rsidR="00991C63">
        <w:rPr>
          <w:iCs/>
          <w:lang w:val="en-IE"/>
        </w:rPr>
        <w:t xml:space="preserve"> by the fact that, following </w:t>
      </w:r>
      <w:r w:rsidR="00991C63">
        <w:rPr>
          <w:i/>
          <w:iCs/>
          <w:lang w:val="en-IE"/>
        </w:rPr>
        <w:t>Boumediene</w:t>
      </w:r>
      <w:r w:rsidR="00991C63">
        <w:rPr>
          <w:iCs/>
          <w:lang w:val="en-IE"/>
        </w:rPr>
        <w:t xml:space="preserve">, they already have at least some constitutional rights. Secondly, arguments of security are undermined by the fact that if these individuals were residing in the </w:t>
      </w:r>
      <w:r>
        <w:rPr>
          <w:iCs/>
          <w:lang w:val="en-IE"/>
        </w:rPr>
        <w:t>US</w:t>
      </w:r>
      <w:r w:rsidR="00991C63">
        <w:rPr>
          <w:iCs/>
          <w:lang w:val="en-IE"/>
        </w:rPr>
        <w:t xml:space="preserve"> they could be subjected to surveillance by the </w:t>
      </w:r>
      <w:r>
        <w:rPr>
          <w:iCs/>
          <w:lang w:val="en-IE"/>
        </w:rPr>
        <w:t>US’</w:t>
      </w:r>
      <w:r w:rsidR="00991C63">
        <w:rPr>
          <w:iCs/>
          <w:lang w:val="en-IE"/>
        </w:rPr>
        <w:t xml:space="preserve"> own police and security forces, rather than relying on the security forces in other states. Thus, for example, the Yemenis who could not be returned to Yemen because of the instability in that state might be effectively surve</w:t>
      </w:r>
      <w:r w:rsidR="005C6331">
        <w:rPr>
          <w:iCs/>
          <w:lang w:val="en-IE"/>
        </w:rPr>
        <w:t>yed</w:t>
      </w:r>
      <w:r w:rsidR="00991C63">
        <w:rPr>
          <w:iCs/>
          <w:lang w:val="en-IE"/>
        </w:rPr>
        <w:t xml:space="preserve"> within the </w:t>
      </w:r>
      <w:r>
        <w:rPr>
          <w:iCs/>
          <w:lang w:val="en-IE"/>
        </w:rPr>
        <w:t>US</w:t>
      </w:r>
      <w:r w:rsidR="00991C63">
        <w:rPr>
          <w:iCs/>
          <w:lang w:val="en-IE"/>
        </w:rPr>
        <w:t xml:space="preserve"> and, in that way, enjoy at least some liberty. It is undoubtedly the case that resettlement in the mainland </w:t>
      </w:r>
      <w:r>
        <w:rPr>
          <w:iCs/>
          <w:lang w:val="en-IE"/>
        </w:rPr>
        <w:t>US</w:t>
      </w:r>
      <w:r w:rsidR="00991C63">
        <w:rPr>
          <w:iCs/>
          <w:lang w:val="en-IE"/>
        </w:rPr>
        <w:t xml:space="preserve"> was never ser</w:t>
      </w:r>
      <w:r w:rsidR="005C6331">
        <w:rPr>
          <w:iCs/>
          <w:lang w:val="en-IE"/>
        </w:rPr>
        <w:t>iously considered because of its</w:t>
      </w:r>
      <w:r w:rsidR="00991C63">
        <w:rPr>
          <w:iCs/>
          <w:lang w:val="en-IE"/>
        </w:rPr>
        <w:t xml:space="preserve"> political impossibility. As we will see below, proposals to transfer indivi</w:t>
      </w:r>
      <w:r>
        <w:rPr>
          <w:iCs/>
          <w:lang w:val="en-IE"/>
        </w:rPr>
        <w:t>duals into high security prison</w:t>
      </w:r>
      <w:r w:rsidR="00991C63">
        <w:rPr>
          <w:iCs/>
          <w:lang w:val="en-IE"/>
        </w:rPr>
        <w:t xml:space="preserve"> in the US have met with reactionary political opposition; one can only imagine the consternation that would follow a suggestion that these individuals should be permitted to live freely in the United States. As well as not considering this in any serious way in the Task Force report, it is important to note that the Obama Administration has continued the Bush Administration’s legal strategy of opposing </w:t>
      </w:r>
      <w:r>
        <w:rPr>
          <w:iCs/>
          <w:lang w:val="en-IE"/>
        </w:rPr>
        <w:t>attempts to secure court</w:t>
      </w:r>
      <w:r w:rsidR="00991C63">
        <w:rPr>
          <w:iCs/>
          <w:lang w:val="en-IE"/>
        </w:rPr>
        <w:t xml:space="preserve"> order</w:t>
      </w:r>
      <w:r>
        <w:rPr>
          <w:iCs/>
          <w:lang w:val="en-IE"/>
        </w:rPr>
        <w:t>s</w:t>
      </w:r>
      <w:r w:rsidR="00991C63">
        <w:rPr>
          <w:iCs/>
          <w:lang w:val="en-IE"/>
        </w:rPr>
        <w:t xml:space="preserve"> requiring the government to transfer individuals into the mainland United States.</w:t>
      </w:r>
      <w:r w:rsidR="000D2BCD">
        <w:rPr>
          <w:rStyle w:val="FootnoteReference"/>
          <w:iCs/>
          <w:lang w:val="en-IE"/>
        </w:rPr>
        <w:footnoteReference w:id="40"/>
      </w:r>
      <w:r w:rsidR="00991C63">
        <w:rPr>
          <w:iCs/>
          <w:lang w:val="en-IE"/>
        </w:rPr>
        <w:t xml:space="preserve"> </w:t>
      </w:r>
    </w:p>
    <w:p w:rsidR="009535AE" w:rsidRPr="00991C63" w:rsidRDefault="009535AE" w:rsidP="00935211">
      <w:pPr>
        <w:spacing w:line="360" w:lineRule="auto"/>
        <w:rPr>
          <w:iCs/>
          <w:lang w:val="en-IE"/>
        </w:rPr>
      </w:pPr>
    </w:p>
    <w:p w:rsidR="008E6F49" w:rsidRPr="000D2BCD" w:rsidRDefault="008E6F49" w:rsidP="00935211">
      <w:pPr>
        <w:spacing w:line="360" w:lineRule="auto"/>
        <w:rPr>
          <w:b/>
          <w:iCs/>
          <w:lang w:val="en-IE"/>
        </w:rPr>
      </w:pPr>
      <w:r w:rsidRPr="000D2BCD">
        <w:rPr>
          <w:b/>
          <w:i/>
          <w:iCs/>
          <w:lang w:val="en-IE"/>
        </w:rPr>
        <w:t>Detainees eligible for trial</w:t>
      </w:r>
    </w:p>
    <w:p w:rsidR="003C61B3" w:rsidRDefault="003C61B3" w:rsidP="00935211">
      <w:pPr>
        <w:spacing w:line="360" w:lineRule="auto"/>
        <w:rPr>
          <w:iCs/>
          <w:lang w:val="en-IE"/>
        </w:rPr>
      </w:pPr>
    </w:p>
    <w:p w:rsidR="009535AE" w:rsidRDefault="009535AE" w:rsidP="00935211">
      <w:pPr>
        <w:spacing w:line="360" w:lineRule="auto"/>
        <w:rPr>
          <w:iCs/>
          <w:lang w:val="en-IE"/>
        </w:rPr>
      </w:pPr>
      <w:r>
        <w:rPr>
          <w:iCs/>
          <w:lang w:val="en-IE"/>
        </w:rPr>
        <w:t>The Task Force concluded that</w:t>
      </w:r>
      <w:r w:rsidR="00A77EA9">
        <w:rPr>
          <w:iCs/>
          <w:lang w:val="en-IE"/>
        </w:rPr>
        <w:t xml:space="preserve"> 46 of the current detainees cou</w:t>
      </w:r>
      <w:r w:rsidR="005C6331">
        <w:rPr>
          <w:iCs/>
          <w:lang w:val="en-IE"/>
        </w:rPr>
        <w:t>ld be subjected to prosecution on the basis of a calculation on whether “there was any basis to conclude that prosecution in either federal court or a military commission was appropriat</w:t>
      </w:r>
      <w:r w:rsidR="00216E3F">
        <w:rPr>
          <w:iCs/>
          <w:lang w:val="en-IE"/>
        </w:rPr>
        <w:t>e and potentially feasible”</w:t>
      </w:r>
      <w:r w:rsidR="005C6331">
        <w:rPr>
          <w:iCs/>
          <w:lang w:val="en-IE"/>
        </w:rPr>
        <w:t>.</w:t>
      </w:r>
      <w:r w:rsidR="00216E3F">
        <w:rPr>
          <w:rStyle w:val="FootnoteReference"/>
          <w:iCs/>
          <w:lang w:val="en-IE"/>
        </w:rPr>
        <w:footnoteReference w:id="41"/>
      </w:r>
      <w:r w:rsidR="005C6331">
        <w:rPr>
          <w:iCs/>
          <w:lang w:val="en-IE"/>
        </w:rPr>
        <w:t xml:space="preserve"> The prosecution recommendation must itself be unpacked to some extent to</w:t>
      </w:r>
      <w:r w:rsidR="00DF3B6A">
        <w:rPr>
          <w:iCs/>
          <w:lang w:val="en-IE"/>
        </w:rPr>
        <w:t xml:space="preserve"> recognise two important things. First,</w:t>
      </w:r>
      <w:r w:rsidR="005C6331">
        <w:rPr>
          <w:iCs/>
          <w:lang w:val="en-IE"/>
        </w:rPr>
        <w:t xml:space="preserve"> a recommendation for prosecution is not necessarily a recommendation for prosecution within the ‘or</w:t>
      </w:r>
      <w:r w:rsidR="00DF3B6A">
        <w:rPr>
          <w:iCs/>
          <w:lang w:val="en-IE"/>
        </w:rPr>
        <w:t xml:space="preserve">dinary’ criminal justice system; </w:t>
      </w:r>
      <w:r w:rsidR="005C6331">
        <w:rPr>
          <w:iCs/>
          <w:lang w:val="en-IE"/>
        </w:rPr>
        <w:t>the use of military commissions</w:t>
      </w:r>
      <w:r w:rsidR="00DF3B6A">
        <w:rPr>
          <w:iCs/>
          <w:lang w:val="en-IE"/>
        </w:rPr>
        <w:t xml:space="preserve"> was not foreclosed</w:t>
      </w:r>
      <w:r w:rsidR="005C6331">
        <w:rPr>
          <w:iCs/>
          <w:lang w:val="en-IE"/>
        </w:rPr>
        <w:t>. The Task Force did recommend that, pursuant to the protocol entitled ‘Determination of Guantánamo Cases Referred for Prosecution’</w:t>
      </w:r>
      <w:r w:rsidR="000C2976">
        <w:rPr>
          <w:rStyle w:val="FootnoteReference"/>
          <w:iCs/>
          <w:lang w:val="en-IE"/>
        </w:rPr>
        <w:footnoteReference w:id="42"/>
      </w:r>
      <w:r w:rsidR="005C6331">
        <w:rPr>
          <w:iCs/>
          <w:lang w:val="en-IE"/>
        </w:rPr>
        <w:t xml:space="preserve"> there ought to be a </w:t>
      </w:r>
      <w:r w:rsidR="000C2976">
        <w:rPr>
          <w:iCs/>
          <w:lang w:val="en-IE"/>
        </w:rPr>
        <w:t>preference for</w:t>
      </w:r>
      <w:r w:rsidR="005C6331">
        <w:rPr>
          <w:iCs/>
          <w:lang w:val="en-IE"/>
        </w:rPr>
        <w:t xml:space="preserve"> federal prosecution, but as we will consider below</w:t>
      </w:r>
      <w:r w:rsidR="000C2976">
        <w:rPr>
          <w:iCs/>
          <w:lang w:val="en-IE"/>
        </w:rPr>
        <w:t>,</w:t>
      </w:r>
      <w:r w:rsidR="005C6331">
        <w:rPr>
          <w:iCs/>
          <w:lang w:val="en-IE"/>
        </w:rPr>
        <w:t xml:space="preserve"> that </w:t>
      </w:r>
      <w:r w:rsidR="005C6331">
        <w:rPr>
          <w:iCs/>
          <w:lang w:val="en-IE"/>
        </w:rPr>
        <w:lastRenderedPageBreak/>
        <w:t xml:space="preserve">preference was later reversed at Presidential level. Secondly the assessment was not merely </w:t>
      </w:r>
      <w:r w:rsidR="000C2976">
        <w:rPr>
          <w:iCs/>
          <w:lang w:val="en-IE"/>
        </w:rPr>
        <w:t xml:space="preserve">one of </w:t>
      </w:r>
      <w:r w:rsidR="005C6331">
        <w:rPr>
          <w:iCs/>
          <w:lang w:val="en-IE"/>
        </w:rPr>
        <w:t xml:space="preserve">whether prosecution was possible (presumably based on whether there was sufficient evidence pointing towards commission of a recognised crime) but also whether it was </w:t>
      </w:r>
      <w:r w:rsidR="005C6331">
        <w:rPr>
          <w:i/>
          <w:iCs/>
          <w:lang w:val="en-IE"/>
        </w:rPr>
        <w:t>feasible</w:t>
      </w:r>
      <w:r w:rsidR="000C2976">
        <w:rPr>
          <w:iCs/>
          <w:lang w:val="en-IE"/>
        </w:rPr>
        <w:t>.</w:t>
      </w:r>
      <w:r w:rsidR="005C6331">
        <w:rPr>
          <w:iCs/>
          <w:lang w:val="en-IE"/>
        </w:rPr>
        <w:t xml:space="preserve"> </w:t>
      </w:r>
    </w:p>
    <w:p w:rsidR="005C6331" w:rsidRDefault="005C6331" w:rsidP="00935211">
      <w:pPr>
        <w:spacing w:line="360" w:lineRule="auto"/>
        <w:rPr>
          <w:iCs/>
          <w:lang w:val="en-IE"/>
        </w:rPr>
      </w:pPr>
    </w:p>
    <w:p w:rsidR="000C2976" w:rsidRDefault="005C6331" w:rsidP="00935211">
      <w:pPr>
        <w:spacing w:line="360" w:lineRule="auto"/>
      </w:pPr>
      <w:r>
        <w:rPr>
          <w:iCs/>
          <w:lang w:val="en-IE"/>
        </w:rPr>
        <w:t>On the one hand the recommendation that detainees should be prosecuted so that any further detention would be based clearly on a sentence handed down by a court was welcome and seems an integral part of any closure process. Once individuals have been prosecuted and if they are convicted of a</w:t>
      </w:r>
      <w:r w:rsidR="000C2976">
        <w:rPr>
          <w:iCs/>
          <w:lang w:val="en-IE"/>
        </w:rPr>
        <w:t xml:space="preserve"> crime then they can be detained</w:t>
      </w:r>
      <w:r>
        <w:rPr>
          <w:iCs/>
          <w:lang w:val="en-IE"/>
        </w:rPr>
        <w:t xml:space="preserve"> in a regular federal prison (subject to political resistance) or, indeed, transferred to another jurisdiction</w:t>
      </w:r>
      <w:r w:rsidR="000C2976">
        <w:rPr>
          <w:iCs/>
          <w:lang w:val="en-IE"/>
        </w:rPr>
        <w:t xml:space="preserve"> to serve one’s sentence there</w:t>
      </w:r>
      <w:r>
        <w:rPr>
          <w:iCs/>
          <w:lang w:val="en-IE"/>
        </w:rPr>
        <w:t xml:space="preserve">. </w:t>
      </w:r>
      <w:r w:rsidR="00BB5D5A">
        <w:rPr>
          <w:iCs/>
          <w:lang w:val="en-IE"/>
        </w:rPr>
        <w:t xml:space="preserve">Prosecutions also go at least some way towards trying to restore a degree of procedural legitimacy to the legacy of Guantánamo Bay, although doubts would certainly prevail about the integrity of any prosecutorial system </w:t>
      </w:r>
      <w:r w:rsidR="000C2976">
        <w:rPr>
          <w:iCs/>
          <w:lang w:val="en-IE"/>
        </w:rPr>
        <w:t>that follows</w:t>
      </w:r>
      <w:r w:rsidR="00BB5D5A">
        <w:rPr>
          <w:iCs/>
          <w:lang w:val="en-IE"/>
        </w:rPr>
        <w:t xml:space="preserve"> long periods of detention, potentially involving unlawful interrogation methods resulting in tainted evidence</w:t>
      </w:r>
      <w:r w:rsidR="000C2976">
        <w:rPr>
          <w:iCs/>
          <w:lang w:val="en-IE"/>
        </w:rPr>
        <w:t>. Even before completion of the Task Force report, the</w:t>
      </w:r>
      <w:r w:rsidR="00BB5D5A">
        <w:rPr>
          <w:iCs/>
          <w:lang w:val="en-IE"/>
        </w:rPr>
        <w:t xml:space="preserve"> Obama </w:t>
      </w:r>
      <w:r w:rsidR="000C2976">
        <w:rPr>
          <w:iCs/>
          <w:lang w:val="en-IE"/>
        </w:rPr>
        <w:t xml:space="preserve">Administration had shown a clear preference for prosecuting </w:t>
      </w:r>
      <w:r w:rsidR="00BB5D5A">
        <w:rPr>
          <w:iCs/>
          <w:lang w:val="en-IE"/>
        </w:rPr>
        <w:t>individuals in federal courts</w:t>
      </w:r>
      <w:r w:rsidR="000C2976">
        <w:rPr>
          <w:iCs/>
          <w:lang w:val="en-IE"/>
        </w:rPr>
        <w:t xml:space="preserve"> wherever possible</w:t>
      </w:r>
      <w:r w:rsidR="00BB5D5A">
        <w:rPr>
          <w:iCs/>
          <w:lang w:val="en-IE"/>
        </w:rPr>
        <w:t xml:space="preserve">. This was </w:t>
      </w:r>
      <w:r w:rsidR="00FA717E">
        <w:rPr>
          <w:iCs/>
          <w:lang w:val="en-IE"/>
        </w:rPr>
        <w:t>clear from</w:t>
      </w:r>
      <w:r w:rsidR="00BB5D5A">
        <w:rPr>
          <w:iCs/>
          <w:lang w:val="en-IE"/>
        </w:rPr>
        <w:t xml:space="preserve"> the announcement</w:t>
      </w:r>
      <w:r w:rsidR="00AB3E57">
        <w:rPr>
          <w:iCs/>
          <w:lang w:val="en-IE"/>
        </w:rPr>
        <w:t xml:space="preserve"> in November 2009</w:t>
      </w:r>
      <w:r w:rsidR="00BB5D5A">
        <w:rPr>
          <w:iCs/>
          <w:lang w:val="en-IE"/>
        </w:rPr>
        <w:t xml:space="preserve"> that Khalid Sheikh Mohammed, the alleged ‘mastermind’ of th</w:t>
      </w:r>
      <w:r w:rsidR="001B71B8">
        <w:rPr>
          <w:iCs/>
          <w:lang w:val="en-IE"/>
        </w:rPr>
        <w:t xml:space="preserve">e 11 September 2001 attacks, and </w:t>
      </w:r>
      <w:r w:rsidR="00FA717E">
        <w:rPr>
          <w:iCs/>
          <w:lang w:val="en-IE"/>
        </w:rPr>
        <w:t>his alleged co-conspirators</w:t>
      </w:r>
      <w:r w:rsidR="001B71B8">
        <w:rPr>
          <w:iCs/>
          <w:lang w:val="en-IE"/>
        </w:rPr>
        <w:t xml:space="preserve"> were</w:t>
      </w:r>
      <w:r w:rsidR="00BB5D5A">
        <w:rPr>
          <w:iCs/>
          <w:lang w:val="en-IE"/>
        </w:rPr>
        <w:t xml:space="preserve"> to be prosecuted in </w:t>
      </w:r>
      <w:r w:rsidR="00FA717E">
        <w:rPr>
          <w:iCs/>
          <w:lang w:val="en-IE"/>
        </w:rPr>
        <w:t>New York City</w:t>
      </w:r>
      <w:r w:rsidR="001B71B8">
        <w:rPr>
          <w:iCs/>
          <w:lang w:val="en-IE"/>
        </w:rPr>
        <w:t>.</w:t>
      </w:r>
      <w:r w:rsidR="00AB3E57">
        <w:rPr>
          <w:iCs/>
          <w:lang w:val="en-IE"/>
        </w:rPr>
        <w:t xml:space="preserve"> That announcement immediately ignited controversy with a substantial number of commentators arguing that </w:t>
      </w:r>
      <w:r w:rsidR="00FA717E">
        <w:rPr>
          <w:iCs/>
          <w:lang w:val="en-IE"/>
        </w:rPr>
        <w:t>this</w:t>
      </w:r>
      <w:r w:rsidR="00AB3E57">
        <w:rPr>
          <w:iCs/>
          <w:lang w:val="en-IE"/>
        </w:rPr>
        <w:t xml:space="preserve"> </w:t>
      </w:r>
      <w:r w:rsidR="00FA717E">
        <w:rPr>
          <w:iCs/>
          <w:lang w:val="en-IE"/>
        </w:rPr>
        <w:t>would make the city vulnerable to further attack.</w:t>
      </w:r>
      <w:r w:rsidR="00AB3E57">
        <w:rPr>
          <w:iCs/>
          <w:lang w:val="en-IE"/>
        </w:rPr>
        <w:t xml:space="preserve"> Speaking a week after the announcement, Attorney General Holder argued that this decision was based solely on prosecutorial rationality: “</w:t>
      </w:r>
      <w:r w:rsidR="00AB3E57">
        <w:t>I am a prosecutor, and as a prosecutor my top priority was simply to select the venue where the government will have the greatest opportunity to present the strongest case in the best forum”.</w:t>
      </w:r>
      <w:r w:rsidR="00AB3E57">
        <w:rPr>
          <w:rStyle w:val="FootnoteReference"/>
        </w:rPr>
        <w:footnoteReference w:id="43"/>
      </w:r>
      <w:r w:rsidR="001C5D41">
        <w:t xml:space="preserve"> </w:t>
      </w:r>
    </w:p>
    <w:p w:rsidR="000C2976" w:rsidRDefault="000C2976" w:rsidP="00935211">
      <w:pPr>
        <w:spacing w:line="360" w:lineRule="auto"/>
      </w:pPr>
    </w:p>
    <w:p w:rsidR="005C6331" w:rsidRPr="000C2976" w:rsidRDefault="001C5D41" w:rsidP="00935211">
      <w:pPr>
        <w:spacing w:line="360" w:lineRule="auto"/>
        <w:rPr>
          <w:iCs/>
          <w:lang w:val="en-IE"/>
        </w:rPr>
      </w:pPr>
      <w:r>
        <w:t>So great was the political and popular outcry agains</w:t>
      </w:r>
      <w:r w:rsidR="000C2976">
        <w:t xml:space="preserve">t trying Mohammed and his </w:t>
      </w:r>
      <w:r>
        <w:t xml:space="preserve">alleged co-conspirators in New York City that this prosecutorial determination could stand up to politics for only two months. In January 2010 the </w:t>
      </w:r>
      <w:r>
        <w:rPr>
          <w:i/>
        </w:rPr>
        <w:t>New York Times</w:t>
      </w:r>
      <w:r>
        <w:t xml:space="preserve"> reported that the Obama Administration was “considering other options” following Mayor Bloomberg’s withdrawal of support for the plan, allegedly based primarily on the cost and logistical implications of </w:t>
      </w:r>
      <w:r>
        <w:lastRenderedPageBreak/>
        <w:t>providing security for the trial.</w:t>
      </w:r>
      <w:r>
        <w:rPr>
          <w:rStyle w:val="FootnoteReference"/>
        </w:rPr>
        <w:footnoteReference w:id="44"/>
      </w:r>
      <w:r>
        <w:t xml:space="preserve"> </w:t>
      </w:r>
      <w:r w:rsidR="00B22BEC">
        <w:t>Any hopes that might have been held for the swift prosecution of detainees in order to facilitate closure of Guantánamo Bay seemed to dissipa</w:t>
      </w:r>
      <w:r w:rsidR="00396B44">
        <w:t>te as political resistance grew. That resistance culminated in the pass</w:t>
      </w:r>
      <w:r w:rsidR="000C2976">
        <w:t xml:space="preserve">age of a legislative bar on transferring Guantánamo Bay detainees </w:t>
      </w:r>
      <w:r w:rsidR="00396B44">
        <w:t xml:space="preserve">to the United States for </w:t>
      </w:r>
      <w:r w:rsidR="000C2976">
        <w:rPr>
          <w:i/>
        </w:rPr>
        <w:t>any</w:t>
      </w:r>
      <w:r w:rsidR="000C2976">
        <w:t xml:space="preserve"> purpose, including trial</w:t>
      </w:r>
      <w:r w:rsidR="00396B44">
        <w:t>.</w:t>
      </w:r>
      <w:r w:rsidR="000C2976">
        <w:rPr>
          <w:rStyle w:val="FootnoteReference"/>
        </w:rPr>
        <w:footnoteReference w:id="45"/>
      </w:r>
      <w:r w:rsidR="000C2976">
        <w:t xml:space="preserve"> </w:t>
      </w:r>
      <w:r w:rsidR="00B22BEC">
        <w:t xml:space="preserve">President Obama </w:t>
      </w:r>
      <w:r w:rsidR="00396B44">
        <w:t>was, therefore, placed in a position where he effectively had no option but to announce, in March 2011, that the military commissions suspended at the beginning of his term of office would be recommenced, albeit with more rights-based procedures than had previously been the case</w:t>
      </w:r>
      <w:r w:rsidR="00B22BEC">
        <w:t>.</w:t>
      </w:r>
      <w:r w:rsidR="00FD0A3E">
        <w:rPr>
          <w:rStyle w:val="FootnoteReference"/>
        </w:rPr>
        <w:footnoteReference w:id="46"/>
      </w:r>
      <w:r w:rsidR="00B22BEC">
        <w:t xml:space="preserve"> Whether those convicted by the military commissions will be held in Guantánamo Bay or elsewhere is not clear, but </w:t>
      </w:r>
      <w:r w:rsidR="000C2976">
        <w:t>failed attempts to acquire detention facilities for such detainees in the mainland United States—now blocked by the ban on any expenditure associated with the transfer of detainees</w:t>
      </w:r>
      <w:r w:rsidR="000C2976">
        <w:rPr>
          <w:rStyle w:val="FootnoteReference"/>
        </w:rPr>
        <w:footnoteReference w:id="47"/>
      </w:r>
      <w:r w:rsidR="000C2976">
        <w:t xml:space="preserve">—suggest that they will most likely be tried </w:t>
      </w:r>
      <w:r w:rsidR="000C2976">
        <w:rPr>
          <w:i/>
        </w:rPr>
        <w:t>and</w:t>
      </w:r>
      <w:r w:rsidR="000C2976">
        <w:t xml:space="preserve"> detained </w:t>
      </w:r>
      <w:r w:rsidR="00DE3FFF">
        <w:t>outside of the United States</w:t>
      </w:r>
      <w:r w:rsidR="000C2976">
        <w:t>.</w:t>
      </w:r>
    </w:p>
    <w:p w:rsidR="003C61B3" w:rsidRPr="003C61B3" w:rsidRDefault="003C61B3" w:rsidP="00935211">
      <w:pPr>
        <w:spacing w:line="360" w:lineRule="auto"/>
        <w:rPr>
          <w:iCs/>
          <w:lang w:val="en-IE"/>
        </w:rPr>
      </w:pPr>
    </w:p>
    <w:p w:rsidR="008E6F49" w:rsidRPr="000D2BCD" w:rsidRDefault="008E6F49" w:rsidP="00935211">
      <w:pPr>
        <w:spacing w:line="360" w:lineRule="auto"/>
        <w:rPr>
          <w:b/>
          <w:i/>
          <w:iCs/>
          <w:lang w:val="en-IE"/>
        </w:rPr>
      </w:pPr>
      <w:r w:rsidRPr="000D2BCD">
        <w:rPr>
          <w:b/>
          <w:i/>
          <w:iCs/>
          <w:lang w:val="en-IE"/>
        </w:rPr>
        <w:t>Detainees ineligible for transfer</w:t>
      </w:r>
      <w:r w:rsidR="00FE5E00" w:rsidRPr="000D2BCD">
        <w:rPr>
          <w:b/>
          <w:i/>
          <w:iCs/>
          <w:lang w:val="en-IE"/>
        </w:rPr>
        <w:t>, release</w:t>
      </w:r>
      <w:r w:rsidRPr="000D2BCD">
        <w:rPr>
          <w:b/>
          <w:i/>
          <w:iCs/>
          <w:lang w:val="en-IE"/>
        </w:rPr>
        <w:t xml:space="preserve"> or trial</w:t>
      </w:r>
    </w:p>
    <w:p w:rsidR="008E6F49" w:rsidRDefault="008E6F49" w:rsidP="00935211">
      <w:pPr>
        <w:spacing w:line="360" w:lineRule="auto"/>
        <w:rPr>
          <w:lang w:val="en-IE"/>
        </w:rPr>
      </w:pPr>
    </w:p>
    <w:p w:rsidR="00FD0A3E" w:rsidRDefault="00FE5E00" w:rsidP="00935211">
      <w:pPr>
        <w:spacing w:line="360" w:lineRule="auto"/>
        <w:rPr>
          <w:lang w:val="en-IE"/>
        </w:rPr>
      </w:pPr>
      <w:r>
        <w:rPr>
          <w:lang w:val="en-IE"/>
        </w:rPr>
        <w:t xml:space="preserve">The </w:t>
      </w:r>
      <w:r w:rsidR="00F4668B">
        <w:rPr>
          <w:lang w:val="en-IE"/>
        </w:rPr>
        <w:t>third category of detainees identified by the Task Force</w:t>
      </w:r>
      <w:r>
        <w:rPr>
          <w:lang w:val="en-IE"/>
        </w:rPr>
        <w:t xml:space="preserve">—those ineligible for transfer, release or trial—present, </w:t>
      </w:r>
      <w:r w:rsidR="00F4668B">
        <w:rPr>
          <w:lang w:val="en-IE"/>
        </w:rPr>
        <w:t xml:space="preserve">perhaps, the most </w:t>
      </w:r>
      <w:r w:rsidR="00FD0A3E">
        <w:rPr>
          <w:lang w:val="en-IE"/>
        </w:rPr>
        <w:t>difficulties for</w:t>
      </w:r>
      <w:r w:rsidR="00F4668B">
        <w:rPr>
          <w:lang w:val="en-IE"/>
        </w:rPr>
        <w:t xml:space="preserve"> the Obama Administration. They are, in the words of the Task Force report, detainees for whom </w:t>
      </w:r>
      <w:r>
        <w:rPr>
          <w:lang w:val="en-IE"/>
        </w:rPr>
        <w:t>“prosecution</w:t>
      </w:r>
      <w:r w:rsidR="00F4668B">
        <w:rPr>
          <w:lang w:val="en-IE"/>
        </w:rPr>
        <w:t xml:space="preserve"> is not feasible” because they were captured in active combat zones and no formal criminal investigations were undertaken leading to a dearth of evidence against them, or because there was no evidence of involvement in a particular terrorist plot although there was evidence of membership or association with Al Qaeda more generally. Significantly the Task Force report does not identify the inadmissibility of any evidence against individual detainees as a barrier to prosecution; rather it expressly states that “the principal obstacles to prosecution…typically did not stem from…concerns that the evidence against the detainee was tainted”, although that may have been a concern in “some cases”.</w:t>
      </w:r>
      <w:r>
        <w:rPr>
          <w:rStyle w:val="FootnoteReference"/>
          <w:lang w:val="en-IE"/>
        </w:rPr>
        <w:footnoteReference w:id="48"/>
      </w:r>
      <w:r>
        <w:rPr>
          <w:lang w:val="en-IE"/>
        </w:rPr>
        <w:t xml:space="preserve"> Thus the 48 </w:t>
      </w:r>
      <w:r w:rsidR="00911860">
        <w:rPr>
          <w:lang w:val="en-IE"/>
        </w:rPr>
        <w:t>detainees who fell into this category were considered ineligible for transfer</w:t>
      </w:r>
      <w:r>
        <w:rPr>
          <w:lang w:val="en-IE"/>
        </w:rPr>
        <w:t xml:space="preserve">, </w:t>
      </w:r>
      <w:r w:rsidR="00911860">
        <w:rPr>
          <w:lang w:val="en-IE"/>
        </w:rPr>
        <w:t xml:space="preserve">release or prosecution </w:t>
      </w:r>
      <w:r w:rsidR="00911860">
        <w:rPr>
          <w:i/>
          <w:lang w:val="en-IE"/>
        </w:rPr>
        <w:t>and</w:t>
      </w:r>
      <w:r w:rsidR="00911860">
        <w:rPr>
          <w:lang w:val="en-IE"/>
        </w:rPr>
        <w:t xml:space="preserve"> subject to lawful detention because they “held a leadership or other specialized role within al-</w:t>
      </w:r>
      <w:r w:rsidR="00911860">
        <w:rPr>
          <w:lang w:val="en-IE"/>
        </w:rPr>
        <w:lastRenderedPageBreak/>
        <w:t>Qaida, the Talib</w:t>
      </w:r>
      <w:r>
        <w:rPr>
          <w:lang w:val="en-IE"/>
        </w:rPr>
        <w:t>an, or associated forces”</w:t>
      </w:r>
      <w:r w:rsidR="00911860">
        <w:rPr>
          <w:lang w:val="en-IE"/>
        </w:rPr>
        <w:t>,</w:t>
      </w:r>
      <w:r>
        <w:rPr>
          <w:rStyle w:val="FootnoteReference"/>
          <w:lang w:val="en-IE"/>
        </w:rPr>
        <w:footnoteReference w:id="49"/>
      </w:r>
      <w:r w:rsidR="00911860">
        <w:rPr>
          <w:lang w:val="en-IE"/>
        </w:rPr>
        <w:t xml:space="preserve"> they had “more extensive training or combat experience than those approved for transfer”,</w:t>
      </w:r>
      <w:r>
        <w:rPr>
          <w:rStyle w:val="FootnoteReference"/>
          <w:lang w:val="en-IE"/>
        </w:rPr>
        <w:footnoteReference w:id="50"/>
      </w:r>
      <w:r w:rsidR="00911860">
        <w:rPr>
          <w:lang w:val="en-IE"/>
        </w:rPr>
        <w:t xml:space="preserve"> they “expressly stated or otherwise exhibited an intent to reengage in extremist activity upon release”,</w:t>
      </w:r>
      <w:r>
        <w:rPr>
          <w:rStyle w:val="FootnoteReference"/>
          <w:lang w:val="en-IE"/>
        </w:rPr>
        <w:footnoteReference w:id="51"/>
      </w:r>
      <w:r w:rsidR="00911860">
        <w:rPr>
          <w:lang w:val="en-IE"/>
        </w:rPr>
        <w:t xml:space="preserve"> or they had “a history of engaging in extremist activities or particularly strong ties (either directly or through family members) to extremist organizations”.</w:t>
      </w:r>
      <w:r>
        <w:rPr>
          <w:rStyle w:val="FootnoteReference"/>
          <w:lang w:val="en-IE"/>
        </w:rPr>
        <w:footnoteReference w:id="52"/>
      </w:r>
      <w:r w:rsidR="00911860">
        <w:rPr>
          <w:lang w:val="en-IE"/>
        </w:rPr>
        <w:t xml:space="preserve"> </w:t>
      </w:r>
    </w:p>
    <w:p w:rsidR="00FD0A3E" w:rsidRDefault="00FD0A3E" w:rsidP="00935211">
      <w:pPr>
        <w:spacing w:line="360" w:lineRule="auto"/>
        <w:rPr>
          <w:lang w:val="en-IE"/>
        </w:rPr>
      </w:pPr>
    </w:p>
    <w:p w:rsidR="00FE5E00" w:rsidRDefault="00911860" w:rsidP="00935211">
      <w:pPr>
        <w:spacing w:line="360" w:lineRule="auto"/>
        <w:rPr>
          <w:lang w:val="en-IE"/>
        </w:rPr>
      </w:pPr>
      <w:r>
        <w:rPr>
          <w:lang w:val="en-IE"/>
        </w:rPr>
        <w:t xml:space="preserve">It should be clear from this that </w:t>
      </w:r>
      <w:r w:rsidR="00FD0A3E">
        <w:rPr>
          <w:lang w:val="en-IE"/>
        </w:rPr>
        <w:t>ineligibility for transfer, release or prosecution is quite broadly construed, but the US has committed itself t</w:t>
      </w:r>
      <w:r>
        <w:rPr>
          <w:lang w:val="en-IE"/>
        </w:rPr>
        <w:t>o the continued review of individual cases to consider whether the detainee might become eligible for release, transfer</w:t>
      </w:r>
      <w:r w:rsidR="00FE5E00">
        <w:rPr>
          <w:lang w:val="en-IE"/>
        </w:rPr>
        <w:t>, or trial in the future</w:t>
      </w:r>
      <w:r>
        <w:rPr>
          <w:lang w:val="en-IE"/>
        </w:rPr>
        <w:t>.</w:t>
      </w:r>
      <w:r w:rsidR="00FE5E00">
        <w:rPr>
          <w:rStyle w:val="FootnoteReference"/>
          <w:lang w:val="en-IE"/>
        </w:rPr>
        <w:footnoteReference w:id="53"/>
      </w:r>
      <w:r w:rsidR="003E174D">
        <w:rPr>
          <w:lang w:val="en-IE"/>
        </w:rPr>
        <w:t xml:space="preserve"> That notwithstanding, however, it is clear that part of Obama’s closure conundrum in relation to Guantánamo Bay </w:t>
      </w:r>
      <w:r w:rsidR="00FE5E00">
        <w:rPr>
          <w:lang w:val="en-IE"/>
        </w:rPr>
        <w:t>continues to be</w:t>
      </w:r>
      <w:r w:rsidR="003E174D">
        <w:rPr>
          <w:lang w:val="en-IE"/>
        </w:rPr>
        <w:t xml:space="preserve"> where these individuals </w:t>
      </w:r>
      <w:r w:rsidR="00FE5E00">
        <w:rPr>
          <w:lang w:val="en-IE"/>
        </w:rPr>
        <w:t>will be</w:t>
      </w:r>
      <w:r w:rsidR="003E174D">
        <w:rPr>
          <w:lang w:val="en-IE"/>
        </w:rPr>
        <w:t xml:space="preserve"> detained for the </w:t>
      </w:r>
      <w:r w:rsidR="00FE5E00">
        <w:rPr>
          <w:lang w:val="en-IE"/>
        </w:rPr>
        <w:t>duration of their indefinite incarceration</w:t>
      </w:r>
      <w:r w:rsidR="003E174D">
        <w:rPr>
          <w:lang w:val="en-IE"/>
        </w:rPr>
        <w:t xml:space="preserve">. </w:t>
      </w:r>
    </w:p>
    <w:p w:rsidR="00FE5E00" w:rsidRDefault="00FE5E00" w:rsidP="00935211">
      <w:pPr>
        <w:spacing w:line="360" w:lineRule="auto"/>
        <w:rPr>
          <w:lang w:val="en-IE"/>
        </w:rPr>
      </w:pPr>
    </w:p>
    <w:p w:rsidR="00F4668B" w:rsidRPr="00FD0A3E" w:rsidRDefault="003E174D" w:rsidP="00935211">
      <w:pPr>
        <w:spacing w:line="360" w:lineRule="auto"/>
      </w:pPr>
      <w:r>
        <w:rPr>
          <w:lang w:val="en-IE"/>
        </w:rPr>
        <w:t xml:space="preserve">President Obama </w:t>
      </w:r>
      <w:r w:rsidR="00FE5E00">
        <w:rPr>
          <w:lang w:val="en-IE"/>
        </w:rPr>
        <w:t xml:space="preserve">had expressed </w:t>
      </w:r>
      <w:r>
        <w:rPr>
          <w:lang w:val="en-IE"/>
        </w:rPr>
        <w:t xml:space="preserve">a desire to acquire the high security Thompson Correctional </w:t>
      </w:r>
      <w:r w:rsidR="007C5662">
        <w:rPr>
          <w:lang w:val="en-IE"/>
        </w:rPr>
        <w:t>Center</w:t>
      </w:r>
      <w:r w:rsidR="00FD0A3E">
        <w:rPr>
          <w:lang w:val="en-IE"/>
        </w:rPr>
        <w:t xml:space="preserve"> in Illinois </w:t>
      </w:r>
      <w:r w:rsidR="008D3547">
        <w:rPr>
          <w:lang w:val="en-IE"/>
        </w:rPr>
        <w:t xml:space="preserve">for </w:t>
      </w:r>
      <w:r w:rsidR="00FE5E00">
        <w:rPr>
          <w:lang w:val="en-IE"/>
        </w:rPr>
        <w:t>the purpose of housing Guantánamo Bay detainees; a proposal that was met with considerable outrage from some elected representatives.</w:t>
      </w:r>
      <w:r w:rsidR="001E6815">
        <w:rPr>
          <w:lang w:val="en-IE"/>
        </w:rPr>
        <w:t xml:space="preserve"> </w:t>
      </w:r>
      <w:r w:rsidR="001E6815">
        <w:t xml:space="preserve">In 2009 provisions were inserted into four spending bills in order to prevent the acquisition of </w:t>
      </w:r>
      <w:r w:rsidR="00FD0A3E">
        <w:t xml:space="preserve">this prison </w:t>
      </w:r>
      <w:r w:rsidR="001E6815">
        <w:t xml:space="preserve">or any </w:t>
      </w:r>
      <w:r w:rsidR="00FD0A3E">
        <w:t>expenditure</w:t>
      </w:r>
      <w:r w:rsidR="001E6815">
        <w:t xml:space="preserve"> required to close the base.</w:t>
      </w:r>
      <w:r w:rsidR="001E6815">
        <w:rPr>
          <w:rStyle w:val="FootnoteReference"/>
        </w:rPr>
        <w:footnoteReference w:id="54"/>
      </w:r>
      <w:r w:rsidR="001E6815">
        <w:t xml:space="preserve"> Although none of the 2009 legislative attempts were successful, as mentioned above the National Defense Authori</w:t>
      </w:r>
      <w:r w:rsidR="00FD0A3E">
        <w:t>zation Act for Fiscal Year 2011</w:t>
      </w:r>
      <w:r w:rsidR="001E6815">
        <w:t xml:space="preserve"> prohibits the use of any federal monies for the transfer of Guantánamo detainees into the </w:t>
      </w:r>
      <w:r w:rsidR="00FD0A3E">
        <w:t>US</w:t>
      </w:r>
      <w:r w:rsidR="001E6815">
        <w:t>.</w:t>
      </w:r>
      <w:r w:rsidR="001E6815">
        <w:rPr>
          <w:rStyle w:val="FootnoteReference"/>
        </w:rPr>
        <w:footnoteReference w:id="55"/>
      </w:r>
      <w:r w:rsidR="001E6815">
        <w:t xml:space="preserve"> That Act also prohibits the use of federal funds for the acquisition or modification of detention facilities to hold Guantánamo detainees.</w:t>
      </w:r>
      <w:r w:rsidR="001E6815" w:rsidRPr="001E6815">
        <w:rPr>
          <w:rStyle w:val="FootnoteReference"/>
        </w:rPr>
        <w:t xml:space="preserve"> </w:t>
      </w:r>
      <w:r w:rsidR="001E6815">
        <w:rPr>
          <w:rStyle w:val="FootnoteReference"/>
        </w:rPr>
        <w:footnoteReference w:id="56"/>
      </w:r>
      <w:r w:rsidR="001E6815">
        <w:t xml:space="preserve"> Before these fiscal blocking measures were successfully introduced, there had been attempts to ensure that any proposed transfer of an individual from Guantánamo Bay to the mainland United States would be subject to a 120-day clearing period during which Congress would be furnished with a report on security risks, which it would then review. The proposal was to apply even in cases where a detainee </w:t>
      </w:r>
      <w:r w:rsidR="001E6815">
        <w:lastRenderedPageBreak/>
        <w:t xml:space="preserve">had been granted </w:t>
      </w:r>
      <w:r w:rsidR="001E6815">
        <w:rPr>
          <w:i/>
        </w:rPr>
        <w:t>habeas corpus</w:t>
      </w:r>
      <w:r w:rsidR="001E6815">
        <w:t xml:space="preserve"> by a federal court. Although </w:t>
      </w:r>
      <w:r w:rsidR="00FD0A3E">
        <w:t>this</w:t>
      </w:r>
      <w:r w:rsidR="001E6815">
        <w:t xml:space="preserve"> did not make its way into the final version of the Defense Authorization Act for Fiscal Year 2011, the fiscal obstacles erected by that Act are sufficiently powerful to result in President Obama and his Administration admitting that closure of the Guantánamo Bay facility is highly unlikely in the near future.</w:t>
      </w:r>
    </w:p>
    <w:p w:rsidR="00050765" w:rsidRDefault="00050765" w:rsidP="00935211">
      <w:pPr>
        <w:spacing w:line="360" w:lineRule="auto"/>
        <w:rPr>
          <w:lang w:val="en-IE"/>
        </w:rPr>
      </w:pPr>
    </w:p>
    <w:p w:rsidR="008E6F49" w:rsidRDefault="008E6F49" w:rsidP="00935211">
      <w:pPr>
        <w:spacing w:line="360" w:lineRule="auto"/>
        <w:rPr>
          <w:b/>
          <w:bCs/>
          <w:lang w:val="en-IE"/>
        </w:rPr>
      </w:pPr>
      <w:r>
        <w:rPr>
          <w:b/>
          <w:bCs/>
          <w:lang w:val="en-IE"/>
        </w:rPr>
        <w:t>Conclusion</w:t>
      </w:r>
    </w:p>
    <w:p w:rsidR="00192F47" w:rsidRDefault="00192F47" w:rsidP="00935211">
      <w:pPr>
        <w:spacing w:line="360" w:lineRule="auto"/>
        <w:rPr>
          <w:b/>
          <w:bCs/>
          <w:lang w:val="en-IE"/>
        </w:rPr>
      </w:pPr>
    </w:p>
    <w:p w:rsidR="00102175" w:rsidRDefault="00192F47" w:rsidP="00935211">
      <w:pPr>
        <w:spacing w:line="360" w:lineRule="auto"/>
        <w:rPr>
          <w:bCs/>
          <w:lang w:val="en-IE"/>
        </w:rPr>
      </w:pPr>
      <w:r>
        <w:rPr>
          <w:bCs/>
          <w:lang w:val="en-IE"/>
        </w:rPr>
        <w:t>Guantánamo Bay</w:t>
      </w:r>
      <w:r w:rsidR="00F1627A">
        <w:rPr>
          <w:bCs/>
          <w:lang w:val="en-IE"/>
        </w:rPr>
        <w:t xml:space="preserve"> has, in many ways, been a location</w:t>
      </w:r>
      <w:r>
        <w:rPr>
          <w:bCs/>
          <w:lang w:val="en-IE"/>
        </w:rPr>
        <w:t xml:space="preserve"> where the battle between law and politics that continues to play itself out in the United States’ ‘War on Terrorism’ has been in sharp relief since the first suspected terrorist detainee </w:t>
      </w:r>
      <w:r w:rsidR="00AC6115">
        <w:rPr>
          <w:bCs/>
          <w:lang w:val="en-IE"/>
        </w:rPr>
        <w:t>arrived there</w:t>
      </w:r>
      <w:r>
        <w:rPr>
          <w:bCs/>
          <w:lang w:val="en-IE"/>
        </w:rPr>
        <w:t xml:space="preserve">. During the Bush Administration a Democrat-dominated Congress attempted </w:t>
      </w:r>
      <w:r w:rsidR="00AC6115">
        <w:rPr>
          <w:bCs/>
          <w:lang w:val="en-IE"/>
        </w:rPr>
        <w:t xml:space="preserve">(and failed) </w:t>
      </w:r>
      <w:r>
        <w:rPr>
          <w:bCs/>
          <w:lang w:val="en-IE"/>
        </w:rPr>
        <w:t>to use fiscal authorisation acts to close Guantánamo Bay</w:t>
      </w:r>
      <w:r w:rsidR="00AC6115">
        <w:rPr>
          <w:rStyle w:val="FootnoteReference"/>
          <w:bCs/>
          <w:lang w:val="en-IE"/>
        </w:rPr>
        <w:footnoteReference w:id="57"/>
      </w:r>
      <w:r>
        <w:rPr>
          <w:bCs/>
          <w:lang w:val="en-IE"/>
        </w:rPr>
        <w:t xml:space="preserve"> and now that same kind of legislation is being used to keep the prison open. </w:t>
      </w:r>
    </w:p>
    <w:p w:rsidR="00102175" w:rsidRDefault="00102175" w:rsidP="00935211">
      <w:pPr>
        <w:spacing w:line="360" w:lineRule="auto"/>
        <w:rPr>
          <w:bCs/>
          <w:lang w:val="en-IE"/>
        </w:rPr>
      </w:pPr>
    </w:p>
    <w:p w:rsidR="00102175" w:rsidRDefault="00192F47" w:rsidP="00935211">
      <w:pPr>
        <w:spacing w:line="360" w:lineRule="auto"/>
        <w:rPr>
          <w:bCs/>
          <w:lang w:val="en-IE"/>
        </w:rPr>
      </w:pPr>
      <w:r>
        <w:rPr>
          <w:bCs/>
          <w:lang w:val="en-IE"/>
        </w:rPr>
        <w:t xml:space="preserve">Politics, in this case, has triumphed over law to at least some extent for even </w:t>
      </w:r>
      <w:r w:rsidR="00236C10">
        <w:rPr>
          <w:bCs/>
          <w:lang w:val="en-IE"/>
        </w:rPr>
        <w:t>though</w:t>
      </w:r>
      <w:r>
        <w:rPr>
          <w:bCs/>
          <w:lang w:val="en-IE"/>
        </w:rPr>
        <w:t xml:space="preserve">, in Joan Fitzpatrick’s words, </w:t>
      </w:r>
      <w:r w:rsidR="00236C10">
        <w:rPr>
          <w:bCs/>
          <w:lang w:val="en-IE"/>
        </w:rPr>
        <w:t xml:space="preserve">the Supreme Court has </w:t>
      </w:r>
      <w:r>
        <w:rPr>
          <w:bCs/>
          <w:lang w:val="en-IE"/>
        </w:rPr>
        <w:t>spoken ‘</w:t>
      </w:r>
      <w:r w:rsidR="00AC6115">
        <w:rPr>
          <w:bCs/>
          <w:lang w:val="en-IE"/>
        </w:rPr>
        <w:t>law</w:t>
      </w:r>
      <w:r>
        <w:rPr>
          <w:bCs/>
          <w:lang w:val="en-IE"/>
        </w:rPr>
        <w:t xml:space="preserve"> to power’</w:t>
      </w:r>
      <w:r w:rsidR="00102175">
        <w:rPr>
          <w:rStyle w:val="FootnoteReference"/>
          <w:bCs/>
          <w:lang w:val="en-IE"/>
        </w:rPr>
        <w:footnoteReference w:id="58"/>
      </w:r>
      <w:r>
        <w:rPr>
          <w:bCs/>
          <w:lang w:val="en-IE"/>
        </w:rPr>
        <w:t xml:space="preserve"> by insisting that Guantánamo detainees would have some mechanism of challenging the lawfulness of their detention in federal courts, thereby removing a primary rationale</w:t>
      </w:r>
      <w:r w:rsidR="00AC6115">
        <w:rPr>
          <w:bCs/>
          <w:lang w:val="en-IE"/>
        </w:rPr>
        <w:t xml:space="preserve"> for the use of Guantánamo Bay. P</w:t>
      </w:r>
      <w:r>
        <w:rPr>
          <w:bCs/>
          <w:lang w:val="en-IE"/>
        </w:rPr>
        <w:t>olitics has resisted these liberalising efforts. Wrapped up in the rhetoric of ‘terrorists on our streets’, and exploiting popular and genuinely felt fear about the gravity and (un)controllability of the terrorist risk,</w:t>
      </w:r>
      <w:r w:rsidR="00AC6115">
        <w:rPr>
          <w:rStyle w:val="FootnoteReference"/>
          <w:bCs/>
          <w:lang w:val="en-IE"/>
        </w:rPr>
        <w:footnoteReference w:id="59"/>
      </w:r>
      <w:r w:rsidR="00236C10">
        <w:rPr>
          <w:bCs/>
          <w:lang w:val="en-IE"/>
        </w:rPr>
        <w:t xml:space="preserve"> politics is manifesting itself in both rhetoric and legislation directed towards maintaining the</w:t>
      </w:r>
      <w:r>
        <w:rPr>
          <w:bCs/>
          <w:lang w:val="en-IE"/>
        </w:rPr>
        <w:t xml:space="preserve"> illogical attempt to carve out a lawless space. </w:t>
      </w:r>
    </w:p>
    <w:p w:rsidR="00102175" w:rsidRDefault="00102175" w:rsidP="00935211">
      <w:pPr>
        <w:spacing w:line="360" w:lineRule="auto"/>
        <w:rPr>
          <w:bCs/>
          <w:lang w:val="en-IE"/>
        </w:rPr>
      </w:pPr>
    </w:p>
    <w:p w:rsidR="00192F47" w:rsidRDefault="00192F47" w:rsidP="00935211">
      <w:pPr>
        <w:spacing w:line="360" w:lineRule="auto"/>
        <w:rPr>
          <w:bCs/>
          <w:lang w:val="en-IE"/>
        </w:rPr>
      </w:pPr>
      <w:r>
        <w:rPr>
          <w:bCs/>
          <w:lang w:val="en-IE"/>
        </w:rPr>
        <w:t xml:space="preserve">The great promise of Obama </w:t>
      </w:r>
      <w:r w:rsidR="00102175">
        <w:rPr>
          <w:bCs/>
          <w:lang w:val="en-IE"/>
        </w:rPr>
        <w:t>to close</w:t>
      </w:r>
      <w:r>
        <w:rPr>
          <w:bCs/>
          <w:lang w:val="en-IE"/>
        </w:rPr>
        <w:t xml:space="preserve"> Guantánamo Bay </w:t>
      </w:r>
      <w:r w:rsidR="00102175">
        <w:rPr>
          <w:bCs/>
          <w:lang w:val="en-IE"/>
        </w:rPr>
        <w:t xml:space="preserve">was never going to be easy to keep but this difficulty has been exacerbated and ambition </w:t>
      </w:r>
      <w:r>
        <w:rPr>
          <w:bCs/>
          <w:lang w:val="en-IE"/>
        </w:rPr>
        <w:t xml:space="preserve">frustrated to an extent </w:t>
      </w:r>
      <w:r w:rsidR="00102175">
        <w:rPr>
          <w:bCs/>
          <w:lang w:val="en-IE"/>
        </w:rPr>
        <w:t xml:space="preserve">that </w:t>
      </w:r>
      <w:r>
        <w:rPr>
          <w:bCs/>
          <w:lang w:val="en-IE"/>
        </w:rPr>
        <w:t xml:space="preserve">may not be </w:t>
      </w:r>
      <w:r w:rsidR="00AC6115">
        <w:rPr>
          <w:bCs/>
          <w:lang w:val="en-IE"/>
        </w:rPr>
        <w:t>surmountable</w:t>
      </w:r>
      <w:r>
        <w:rPr>
          <w:bCs/>
          <w:lang w:val="en-IE"/>
        </w:rPr>
        <w:t xml:space="preserve"> during his remaining time in the White </w:t>
      </w:r>
      <w:r w:rsidR="007B0D45">
        <w:rPr>
          <w:bCs/>
          <w:lang w:val="en-IE"/>
        </w:rPr>
        <w:t xml:space="preserve">House. </w:t>
      </w:r>
      <w:r w:rsidR="00947D2E">
        <w:rPr>
          <w:bCs/>
          <w:lang w:val="en-IE"/>
        </w:rPr>
        <w:t>Until</w:t>
      </w:r>
      <w:r w:rsidR="007B0D45">
        <w:rPr>
          <w:bCs/>
          <w:lang w:val="en-IE"/>
        </w:rPr>
        <w:t xml:space="preserve"> law and politics are </w:t>
      </w:r>
      <w:r w:rsidR="007B0D45">
        <w:rPr>
          <w:bCs/>
          <w:lang w:val="en-IE"/>
        </w:rPr>
        <w:lastRenderedPageBreak/>
        <w:t>aligned</w:t>
      </w:r>
      <w:r w:rsidR="00AC6115">
        <w:rPr>
          <w:bCs/>
          <w:lang w:val="en-IE"/>
        </w:rPr>
        <w:t xml:space="preserve"> in </w:t>
      </w:r>
      <w:r w:rsidR="00947D2E">
        <w:rPr>
          <w:bCs/>
          <w:lang w:val="en-IE"/>
        </w:rPr>
        <w:t xml:space="preserve">usable </w:t>
      </w:r>
      <w:r w:rsidR="00AC6115">
        <w:rPr>
          <w:bCs/>
          <w:lang w:val="en-IE"/>
        </w:rPr>
        <w:t>a commitment to close</w:t>
      </w:r>
      <w:r w:rsidR="007B0D45">
        <w:rPr>
          <w:bCs/>
          <w:lang w:val="en-IE"/>
        </w:rPr>
        <w:t xml:space="preserve"> Guantánamo Bay</w:t>
      </w:r>
      <w:r w:rsidR="00AC6115">
        <w:rPr>
          <w:bCs/>
          <w:lang w:val="en-IE"/>
        </w:rPr>
        <w:t xml:space="preserve">, the prison will </w:t>
      </w:r>
      <w:r w:rsidR="00947D2E">
        <w:rPr>
          <w:bCs/>
          <w:lang w:val="en-IE"/>
        </w:rPr>
        <w:t>remain open,</w:t>
      </w:r>
      <w:r w:rsidR="007B0D45">
        <w:rPr>
          <w:bCs/>
          <w:lang w:val="en-IE"/>
        </w:rPr>
        <w:t xml:space="preserve"> not because of the failure of law, but because of the failure of politics. </w:t>
      </w:r>
    </w:p>
    <w:p w:rsidR="00BC67BF" w:rsidRDefault="00BC67BF" w:rsidP="00935211">
      <w:pPr>
        <w:spacing w:line="360" w:lineRule="auto"/>
        <w:rPr>
          <w:bCs/>
          <w:lang w:val="en-IE"/>
        </w:rPr>
      </w:pPr>
    </w:p>
    <w:p w:rsidR="00BC67BF" w:rsidRPr="00947D2E" w:rsidRDefault="00BC67BF" w:rsidP="00935211">
      <w:pPr>
        <w:spacing w:line="360" w:lineRule="auto"/>
        <w:rPr>
          <w:b/>
          <w:bCs/>
          <w:lang w:val="en-IE"/>
        </w:rPr>
      </w:pPr>
      <w:r w:rsidRPr="00947D2E">
        <w:rPr>
          <w:b/>
          <w:bCs/>
          <w:lang w:val="en-IE"/>
        </w:rPr>
        <w:t>Dr Fiona de Londras</w:t>
      </w:r>
    </w:p>
    <w:p w:rsidR="00BC67BF" w:rsidRPr="007B0D45" w:rsidRDefault="00BC67BF" w:rsidP="00935211">
      <w:pPr>
        <w:spacing w:line="360" w:lineRule="auto"/>
        <w:rPr>
          <w:bCs/>
          <w:lang w:val="en-IE"/>
        </w:rPr>
      </w:pPr>
      <w:r>
        <w:rPr>
          <w:bCs/>
          <w:lang w:val="en-IE"/>
        </w:rPr>
        <w:t>Lecturer, UCD School of Law</w:t>
      </w:r>
    </w:p>
    <w:sectPr w:rsidR="00BC67BF" w:rsidRPr="007B0D45" w:rsidSect="00C26273">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15A1" w:rsidRDefault="005215A1" w:rsidP="00935211">
      <w:r>
        <w:separator/>
      </w:r>
    </w:p>
  </w:endnote>
  <w:endnote w:type="continuationSeparator" w:id="0">
    <w:p w:rsidR="005215A1" w:rsidRDefault="005215A1" w:rsidP="0093521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AdvT207">
    <w:altName w:val="MS Mincho"/>
    <w:panose1 w:val="00000000000000000000"/>
    <w:charset w:val="80"/>
    <w:family w:val="auto"/>
    <w:notTrueType/>
    <w:pitch w:val="default"/>
    <w:sig w:usb0="00000001" w:usb1="08070000" w:usb2="00000010" w:usb3="00000000" w:csb0="00020000" w:csb1="00000000"/>
  </w:font>
  <w:font w:name="AdvT208">
    <w:altName w:val="MS Mincho"/>
    <w:panose1 w:val="00000000000000000000"/>
    <w:charset w:val="80"/>
    <w:family w:val="auto"/>
    <w:notTrueType/>
    <w:pitch w:val="default"/>
    <w:sig w:usb0="00000001" w:usb1="08070000" w:usb2="00000010" w:usb3="00000000" w:csb0="00020000"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15A1" w:rsidRDefault="005215A1" w:rsidP="00935211">
      <w:r>
        <w:separator/>
      </w:r>
    </w:p>
  </w:footnote>
  <w:footnote w:type="continuationSeparator" w:id="0">
    <w:p w:rsidR="005215A1" w:rsidRDefault="005215A1" w:rsidP="00935211">
      <w:r>
        <w:continuationSeparator/>
      </w:r>
    </w:p>
  </w:footnote>
  <w:footnote w:id="1">
    <w:p w:rsidR="008E6F49" w:rsidRDefault="008E6F49">
      <w:pPr>
        <w:pStyle w:val="FootnoteText"/>
      </w:pPr>
      <w:r>
        <w:rPr>
          <w:rStyle w:val="FootnoteReference"/>
        </w:rPr>
        <w:footnoteRef/>
      </w:r>
      <w:r>
        <w:t xml:space="preserve"> </w:t>
      </w:r>
      <w:r w:rsidR="006F073C">
        <w:t>Review and Disposition of Individuals Detained at the Guantanamo Bay Naval Base and Closure of Detention Facilities, January 22, 2009, Executive Order No. 13,492, 74 Fed. 4897 Reg. (January 27, 2009); Review of Detention Policy Options, January 22, 2009, Executive Order No 13,493, 74 Fed. Ref. 4901 (January 27, 2009).</w:t>
      </w:r>
    </w:p>
  </w:footnote>
  <w:footnote w:id="2">
    <w:p w:rsidR="00D96E63" w:rsidRPr="00D96E63" w:rsidRDefault="00D96E63">
      <w:pPr>
        <w:pStyle w:val="FootnoteText"/>
        <w:rPr>
          <w:lang w:val="en-IE"/>
        </w:rPr>
      </w:pPr>
      <w:r>
        <w:rPr>
          <w:rStyle w:val="FootnoteReference"/>
        </w:rPr>
        <w:footnoteRef/>
      </w:r>
      <w:r>
        <w:t xml:space="preserve"> Periodic Review of Individuals Detained at Guantánamo Bay Naval Station Pursuant to the Authorization for Use of Military Force, March 7, 2001. Available at </w:t>
      </w:r>
      <w:hyperlink r:id="rId1" w:history="1">
        <w:r w:rsidRPr="00047C1B">
          <w:rPr>
            <w:rStyle w:val="Hyperlink"/>
          </w:rPr>
          <w:t>http://www.whitehouse.gov/sites/default/files/Executive_Order_on_Periodic_Review.pdf</w:t>
        </w:r>
      </w:hyperlink>
      <w:r>
        <w:t xml:space="preserve">  (March 11, 2011).</w:t>
      </w:r>
    </w:p>
  </w:footnote>
  <w:footnote w:id="3">
    <w:p w:rsidR="008E6F49" w:rsidRDefault="008E6F49">
      <w:pPr>
        <w:pStyle w:val="FootnoteText"/>
      </w:pPr>
      <w:r>
        <w:rPr>
          <w:rStyle w:val="FootnoteReference"/>
        </w:rPr>
        <w:footnoteRef/>
      </w:r>
      <w:r>
        <w:t xml:space="preserve"> </w:t>
      </w:r>
      <w:r w:rsidR="00A17FF6">
        <w:t xml:space="preserve">Andrew </w:t>
      </w:r>
      <w:r w:rsidR="00A17FF6">
        <w:rPr>
          <w:lang w:val="en-IE"/>
        </w:rPr>
        <w:t xml:space="preserve">Harding &amp; John Hatchard (eds), </w:t>
      </w:r>
      <w:r w:rsidR="00A17FF6">
        <w:rPr>
          <w:i/>
          <w:lang w:val="en-IE"/>
        </w:rPr>
        <w:t>Preventive Detention and Security Law: A Comparative Survey</w:t>
      </w:r>
      <w:r w:rsidR="00A17FF6">
        <w:rPr>
          <w:lang w:val="en-IE"/>
        </w:rPr>
        <w:t xml:space="preserve"> (1993, Dordrecht; Martinus Nijhoff); Stanislaw Frankowski. &amp; Dinah Shelton (eds), </w:t>
      </w:r>
      <w:r w:rsidR="00A17FF6">
        <w:rPr>
          <w:i/>
          <w:lang w:val="en-IE"/>
        </w:rPr>
        <w:t>Preventive Detention: A Comparative and International Law Perspective</w:t>
      </w:r>
      <w:r w:rsidR="00A17FF6">
        <w:rPr>
          <w:lang w:val="en-IE"/>
        </w:rPr>
        <w:t xml:space="preserve"> (1992, Dordrecht; Martinus Nijhoff).</w:t>
      </w:r>
    </w:p>
  </w:footnote>
  <w:footnote w:id="4">
    <w:p w:rsidR="008E6F49" w:rsidRPr="00A17FF6" w:rsidRDefault="008E6F49">
      <w:pPr>
        <w:pStyle w:val="FootnoteText"/>
      </w:pPr>
      <w:r>
        <w:rPr>
          <w:rStyle w:val="FootnoteReference"/>
        </w:rPr>
        <w:footnoteRef/>
      </w:r>
      <w:r>
        <w:t xml:space="preserve"> </w:t>
      </w:r>
      <w:r w:rsidR="00A17FF6">
        <w:t xml:space="preserve">John Yoo, </w:t>
      </w:r>
      <w:r w:rsidR="00A17FF6">
        <w:rPr>
          <w:i/>
        </w:rPr>
        <w:t>War by Other Means: An Insider’s View of the War on Terror</w:t>
      </w:r>
      <w:r w:rsidR="00A17FF6">
        <w:t xml:space="preserve"> (2006, New York; Atlantic Monthly Press), Chapter 6.</w:t>
      </w:r>
    </w:p>
  </w:footnote>
  <w:footnote w:id="5">
    <w:p w:rsidR="008E6F49" w:rsidRDefault="008E6F49">
      <w:pPr>
        <w:pStyle w:val="FootnoteText"/>
      </w:pPr>
      <w:r>
        <w:rPr>
          <w:rStyle w:val="FootnoteReference"/>
        </w:rPr>
        <w:footnoteRef/>
      </w:r>
      <w:r>
        <w:t xml:space="preserve"> </w:t>
      </w:r>
      <w:r w:rsidR="00A17FF6">
        <w:t>339 US 763 (1950).</w:t>
      </w:r>
    </w:p>
  </w:footnote>
  <w:footnote w:id="6">
    <w:p w:rsidR="008E6F49" w:rsidRPr="00B92573" w:rsidRDefault="008E6F49" w:rsidP="00A17FF6">
      <w:pPr>
        <w:autoSpaceDE w:val="0"/>
        <w:autoSpaceDN w:val="0"/>
        <w:adjustRightInd w:val="0"/>
        <w:rPr>
          <w:sz w:val="20"/>
          <w:szCs w:val="20"/>
        </w:rPr>
      </w:pPr>
      <w:r w:rsidRPr="00B92573">
        <w:rPr>
          <w:rStyle w:val="FootnoteReference"/>
          <w:sz w:val="20"/>
          <w:szCs w:val="20"/>
        </w:rPr>
        <w:footnoteRef/>
      </w:r>
      <w:r w:rsidRPr="00B92573">
        <w:rPr>
          <w:sz w:val="20"/>
          <w:szCs w:val="20"/>
        </w:rPr>
        <w:t xml:space="preserve"> </w:t>
      </w:r>
      <w:r w:rsidR="00A17FF6" w:rsidRPr="00B92573">
        <w:rPr>
          <w:rFonts w:eastAsia="AdvT207"/>
          <w:sz w:val="20"/>
          <w:szCs w:val="20"/>
          <w:lang w:val="en-IE" w:eastAsia="en-IE"/>
        </w:rPr>
        <w:t>Lease of Lands for Coaling and Naval Stations, 23 February 1903, US-Cuba, Article III T.S. No.418; Treaty Defining Relations with Cuba, 29May1934,US-Cuba, Art. III, 48 Stat.1683,</w:t>
      </w:r>
      <w:r w:rsidR="00B92573">
        <w:rPr>
          <w:rFonts w:eastAsia="AdvT207"/>
          <w:sz w:val="20"/>
          <w:szCs w:val="20"/>
          <w:lang w:val="en-IE" w:eastAsia="en-IE"/>
        </w:rPr>
        <w:t xml:space="preserve"> </w:t>
      </w:r>
      <w:r w:rsidR="00A17FF6" w:rsidRPr="00B92573">
        <w:rPr>
          <w:rFonts w:eastAsia="AdvT207"/>
          <w:sz w:val="20"/>
          <w:szCs w:val="20"/>
          <w:lang w:val="en-IE" w:eastAsia="en-IE"/>
        </w:rPr>
        <w:t>T.S.</w:t>
      </w:r>
      <w:r w:rsidR="00B92573">
        <w:rPr>
          <w:rFonts w:eastAsia="AdvT207"/>
          <w:sz w:val="20"/>
          <w:szCs w:val="20"/>
          <w:lang w:val="en-IE" w:eastAsia="en-IE"/>
        </w:rPr>
        <w:t xml:space="preserve"> </w:t>
      </w:r>
      <w:r w:rsidR="00A17FF6" w:rsidRPr="00B92573">
        <w:rPr>
          <w:rFonts w:eastAsia="AdvT207"/>
          <w:sz w:val="20"/>
          <w:szCs w:val="20"/>
          <w:lang w:val="en-IE" w:eastAsia="en-IE"/>
        </w:rPr>
        <w:t>No. 866.</w:t>
      </w:r>
    </w:p>
  </w:footnote>
  <w:footnote w:id="7">
    <w:p w:rsidR="008E6F49" w:rsidRPr="00A17FF6" w:rsidRDefault="008E6F49">
      <w:pPr>
        <w:pStyle w:val="FootnoteText"/>
      </w:pPr>
      <w:r>
        <w:rPr>
          <w:rStyle w:val="FootnoteReference"/>
        </w:rPr>
        <w:footnoteRef/>
      </w:r>
      <w:r>
        <w:t xml:space="preserve"> </w:t>
      </w:r>
      <w:r w:rsidR="00A17FF6">
        <w:t xml:space="preserve">(Lord) Johan Steyn, “Guantánamo Bay: The Legal Black Hole” (2004) 53 </w:t>
      </w:r>
      <w:r w:rsidR="00A17FF6">
        <w:rPr>
          <w:i/>
        </w:rPr>
        <w:t>International and Comparative Law Quarterly</w:t>
      </w:r>
      <w:r w:rsidR="00A17FF6">
        <w:t xml:space="preserve"> 1.</w:t>
      </w:r>
    </w:p>
  </w:footnote>
  <w:footnote w:id="8">
    <w:p w:rsidR="008E6F49" w:rsidRDefault="008E6F49">
      <w:pPr>
        <w:pStyle w:val="FootnoteText"/>
      </w:pPr>
      <w:r>
        <w:rPr>
          <w:rStyle w:val="FootnoteReference"/>
        </w:rPr>
        <w:footnoteRef/>
      </w:r>
      <w:r>
        <w:t xml:space="preserve"> </w:t>
      </w:r>
      <w:r w:rsidR="00A17FF6">
        <w:t>Fleur Johns, “</w:t>
      </w:r>
      <w:r w:rsidR="00A17FF6">
        <w:rPr>
          <w:rStyle w:val="Emphasis"/>
        </w:rPr>
        <w:t>Guantanamo Bay</w:t>
      </w:r>
      <w:r w:rsidR="00A17FF6">
        <w:t xml:space="preserve"> and the Annihilation of the Exception” (2005) 16 </w:t>
      </w:r>
      <w:r w:rsidR="00A17FF6" w:rsidRPr="00A17FF6">
        <w:rPr>
          <w:i/>
        </w:rPr>
        <w:t xml:space="preserve">European Journal of International Law </w:t>
      </w:r>
      <w:r w:rsidR="00A17FF6">
        <w:t>613.</w:t>
      </w:r>
    </w:p>
  </w:footnote>
  <w:footnote w:id="9">
    <w:p w:rsidR="008E6F49" w:rsidRPr="00A17FF6" w:rsidRDefault="008E6F49">
      <w:pPr>
        <w:pStyle w:val="FootnoteText"/>
      </w:pPr>
      <w:r>
        <w:rPr>
          <w:rStyle w:val="FootnoteReference"/>
        </w:rPr>
        <w:footnoteRef/>
      </w:r>
      <w:r>
        <w:t xml:space="preserve"> </w:t>
      </w:r>
      <w:r w:rsidR="00A17FF6">
        <w:t xml:space="preserve">Fiona de Londras, “Guantánamo Bay: Towards Legality?” (2008) 71 </w:t>
      </w:r>
      <w:r w:rsidR="00A17FF6">
        <w:rPr>
          <w:i/>
        </w:rPr>
        <w:t>Modern Law Review</w:t>
      </w:r>
      <w:r w:rsidR="00A17FF6">
        <w:t xml:space="preserve"> 36.</w:t>
      </w:r>
    </w:p>
  </w:footnote>
  <w:footnote w:id="10">
    <w:p w:rsidR="008E6F49" w:rsidRPr="0095229A" w:rsidRDefault="008E6F49">
      <w:pPr>
        <w:pStyle w:val="FootnoteText"/>
      </w:pPr>
      <w:r>
        <w:rPr>
          <w:rStyle w:val="FootnoteReference"/>
        </w:rPr>
        <w:footnoteRef/>
      </w:r>
      <w:r>
        <w:t xml:space="preserve"> </w:t>
      </w:r>
      <w:r w:rsidR="0095229A">
        <w:rPr>
          <w:i/>
        </w:rPr>
        <w:t>Rasul v Bush</w:t>
      </w:r>
      <w:r w:rsidR="0095229A">
        <w:t xml:space="preserve"> 542 US 466 (2004).</w:t>
      </w:r>
    </w:p>
  </w:footnote>
  <w:footnote w:id="11">
    <w:p w:rsidR="008E6F49" w:rsidRPr="0095229A" w:rsidRDefault="008E6F49">
      <w:pPr>
        <w:pStyle w:val="FootnoteText"/>
      </w:pPr>
      <w:r>
        <w:rPr>
          <w:rStyle w:val="FootnoteReference"/>
        </w:rPr>
        <w:footnoteRef/>
      </w:r>
      <w:r>
        <w:t xml:space="preserve"> </w:t>
      </w:r>
      <w:r w:rsidR="0095229A">
        <w:rPr>
          <w:i/>
        </w:rPr>
        <w:t xml:space="preserve">Hamdan v Rumsfeld </w:t>
      </w:r>
      <w:r w:rsidR="0095229A">
        <w:t>548 US 557 (2006).</w:t>
      </w:r>
    </w:p>
  </w:footnote>
  <w:footnote w:id="12">
    <w:p w:rsidR="008E6F49" w:rsidRPr="0095229A" w:rsidRDefault="008E6F49">
      <w:pPr>
        <w:pStyle w:val="FootnoteText"/>
        <w:rPr>
          <w:i/>
        </w:rPr>
      </w:pPr>
      <w:r>
        <w:rPr>
          <w:rStyle w:val="FootnoteReference"/>
        </w:rPr>
        <w:footnoteRef/>
      </w:r>
      <w:r>
        <w:t xml:space="preserve"> </w:t>
      </w:r>
      <w:r w:rsidR="0095229A">
        <w:rPr>
          <w:i/>
        </w:rPr>
        <w:t>Boumediene v Bush</w:t>
      </w:r>
      <w:r w:rsidR="0095229A">
        <w:t xml:space="preserve"> 553 U.S. 723 (2008).</w:t>
      </w:r>
    </w:p>
  </w:footnote>
  <w:footnote w:id="13">
    <w:p w:rsidR="008E6F49" w:rsidRDefault="008E6F49">
      <w:pPr>
        <w:pStyle w:val="FootnoteText"/>
      </w:pPr>
      <w:r>
        <w:rPr>
          <w:rStyle w:val="FootnoteReference"/>
        </w:rPr>
        <w:footnoteRef/>
      </w:r>
      <w:r>
        <w:t xml:space="preserve"> </w:t>
      </w:r>
      <w:r w:rsidR="0095229A">
        <w:rPr>
          <w:i/>
        </w:rPr>
        <w:t>Rasul v Bush</w:t>
      </w:r>
      <w:r w:rsidR="0095229A">
        <w:t xml:space="preserve"> 542 US 466 (2004).</w:t>
      </w:r>
    </w:p>
  </w:footnote>
  <w:footnote w:id="14">
    <w:p w:rsidR="008E6F49" w:rsidRPr="0095229A" w:rsidRDefault="008E6F49">
      <w:pPr>
        <w:pStyle w:val="FootnoteText"/>
      </w:pPr>
      <w:r>
        <w:rPr>
          <w:rStyle w:val="FootnoteReference"/>
        </w:rPr>
        <w:footnoteRef/>
      </w:r>
      <w:r>
        <w:t xml:space="preserve"> </w:t>
      </w:r>
      <w:r w:rsidR="0095229A">
        <w:t xml:space="preserve">See generally William Duker, </w:t>
      </w:r>
      <w:r w:rsidR="0095229A">
        <w:rPr>
          <w:i/>
        </w:rPr>
        <w:t>A Constitutional History of Habeas Corpus</w:t>
      </w:r>
      <w:r w:rsidR="0095229A">
        <w:t xml:space="preserve"> (1980, Westport, Conn.; Greenwood Press).</w:t>
      </w:r>
    </w:p>
  </w:footnote>
  <w:footnote w:id="15">
    <w:p w:rsidR="008E6F49" w:rsidRPr="0095229A" w:rsidRDefault="008E6F49">
      <w:pPr>
        <w:pStyle w:val="FootnoteText"/>
        <w:rPr>
          <w:i/>
        </w:rPr>
      </w:pPr>
      <w:r>
        <w:rPr>
          <w:rStyle w:val="FootnoteReference"/>
        </w:rPr>
        <w:footnoteRef/>
      </w:r>
      <w:r>
        <w:t xml:space="preserve"> </w:t>
      </w:r>
      <w:r w:rsidR="0095229A">
        <w:rPr>
          <w:i/>
        </w:rPr>
        <w:t xml:space="preserve">Johnson v Eisentrager </w:t>
      </w:r>
      <w:r w:rsidR="0095229A">
        <w:t>339 US 763 (1950).</w:t>
      </w:r>
    </w:p>
  </w:footnote>
  <w:footnote w:id="16">
    <w:p w:rsidR="008E6F49" w:rsidRDefault="008E6F49">
      <w:pPr>
        <w:pStyle w:val="FootnoteText"/>
      </w:pPr>
      <w:r>
        <w:rPr>
          <w:rStyle w:val="FootnoteReference"/>
        </w:rPr>
        <w:footnoteRef/>
      </w:r>
      <w:r>
        <w:t xml:space="preserve"> </w:t>
      </w:r>
      <w:r w:rsidR="00D033DF">
        <w:t xml:space="preserve">See, for example, Speech of Senator Lindsey Graham in the Senate, 10 November 2005, </w:t>
      </w:r>
      <w:r w:rsidR="00D033DF" w:rsidRPr="00654283">
        <w:rPr>
          <w:i/>
        </w:rPr>
        <w:t>Congressional Record</w:t>
      </w:r>
      <w:r w:rsidR="00D033DF" w:rsidRPr="00792701">
        <w:rPr>
          <w:smallCaps/>
        </w:rPr>
        <w:t>,</w:t>
      </w:r>
      <w:r w:rsidR="00D033DF">
        <w:t xml:space="preserve"> p. S12657.</w:t>
      </w:r>
    </w:p>
  </w:footnote>
  <w:footnote w:id="17">
    <w:p w:rsidR="008E6F49" w:rsidRDefault="008E6F49">
      <w:pPr>
        <w:pStyle w:val="FootnoteText"/>
      </w:pPr>
      <w:r>
        <w:rPr>
          <w:rStyle w:val="FootnoteReference"/>
        </w:rPr>
        <w:footnoteRef/>
      </w:r>
      <w:r>
        <w:t xml:space="preserve"> </w:t>
      </w:r>
      <w:r w:rsidR="00D033DF">
        <w:t>Detainee Treatment Act of 2005, Pub. L. No. 109-148, §§ 1001-1006 (2005).</w:t>
      </w:r>
    </w:p>
  </w:footnote>
  <w:footnote w:id="18">
    <w:p w:rsidR="008E6F49" w:rsidRPr="00D033DF" w:rsidRDefault="008E6F49" w:rsidP="00D033DF">
      <w:pPr>
        <w:autoSpaceDE w:val="0"/>
        <w:autoSpaceDN w:val="0"/>
        <w:adjustRightInd w:val="0"/>
        <w:rPr>
          <w:rFonts w:eastAsia="AdvT207"/>
          <w:sz w:val="20"/>
          <w:szCs w:val="20"/>
          <w:lang w:val="en-IE" w:eastAsia="en-IE"/>
        </w:rPr>
      </w:pPr>
      <w:r>
        <w:rPr>
          <w:rStyle w:val="FootnoteReference"/>
        </w:rPr>
        <w:footnoteRef/>
      </w:r>
      <w:r>
        <w:t xml:space="preserve"> </w:t>
      </w:r>
      <w:r w:rsidR="00D033DF" w:rsidRPr="00C2531C">
        <w:rPr>
          <w:rFonts w:eastAsia="AdvT207"/>
          <w:sz w:val="20"/>
          <w:szCs w:val="20"/>
          <w:lang w:val="en-IE" w:eastAsia="en-IE"/>
        </w:rPr>
        <w:t xml:space="preserve">Gary McDowell, </w:t>
      </w:r>
      <w:r w:rsidR="00D033DF" w:rsidRPr="00B92573">
        <w:rPr>
          <w:rFonts w:eastAsia="AdvT208"/>
          <w:i/>
          <w:sz w:val="20"/>
          <w:szCs w:val="20"/>
          <w:lang w:val="en-IE" w:eastAsia="en-IE"/>
        </w:rPr>
        <w:t>Curbing the Courts: The Constitution and the Limits of Judicial Power</w:t>
      </w:r>
      <w:r w:rsidR="00D033DF" w:rsidRPr="00C2531C">
        <w:rPr>
          <w:rFonts w:eastAsia="AdvT207"/>
          <w:sz w:val="20"/>
          <w:szCs w:val="20"/>
          <w:lang w:val="en-IE" w:eastAsia="en-IE"/>
        </w:rPr>
        <w:t>, (1998, Baton Rouge; Louisiana State University Press)</w:t>
      </w:r>
    </w:p>
  </w:footnote>
  <w:footnote w:id="19">
    <w:p w:rsidR="008E6F49" w:rsidRDefault="008E6F49">
      <w:pPr>
        <w:pStyle w:val="FootnoteText"/>
      </w:pPr>
      <w:r>
        <w:rPr>
          <w:rStyle w:val="FootnoteReference"/>
        </w:rPr>
        <w:footnoteRef/>
      </w:r>
      <w:r>
        <w:t xml:space="preserve"> </w:t>
      </w:r>
      <w:r w:rsidR="00141D80">
        <w:rPr>
          <w:i/>
        </w:rPr>
        <w:t xml:space="preserve">Hamdan v Rumsfeld </w:t>
      </w:r>
      <w:r w:rsidR="00141D80">
        <w:t>548 US 557 (2006).</w:t>
      </w:r>
    </w:p>
  </w:footnote>
  <w:footnote w:id="20">
    <w:p w:rsidR="008E6F49" w:rsidRPr="00141D80" w:rsidRDefault="008E6F49">
      <w:pPr>
        <w:pStyle w:val="FootnoteText"/>
      </w:pPr>
      <w:r>
        <w:rPr>
          <w:rStyle w:val="FootnoteReference"/>
        </w:rPr>
        <w:footnoteRef/>
      </w:r>
      <w:r>
        <w:t xml:space="preserve"> </w:t>
      </w:r>
      <w:r w:rsidR="00141D80">
        <w:t xml:space="preserve">See Fiona de Londras, “Guantánamo Bay: Towards Legality?” (2008) 71 </w:t>
      </w:r>
      <w:r w:rsidR="00141D80">
        <w:rPr>
          <w:i/>
        </w:rPr>
        <w:t>Modern Law Review</w:t>
      </w:r>
      <w:r w:rsidR="00141D80">
        <w:t xml:space="preserve"> 36, p.p. 45-46.</w:t>
      </w:r>
    </w:p>
  </w:footnote>
  <w:footnote w:id="21">
    <w:p w:rsidR="008E6F49" w:rsidRPr="008E6577" w:rsidRDefault="008E6F49">
      <w:pPr>
        <w:pStyle w:val="FootnoteText"/>
      </w:pPr>
      <w:r>
        <w:rPr>
          <w:rStyle w:val="FootnoteReference"/>
        </w:rPr>
        <w:footnoteRef/>
      </w:r>
      <w:r>
        <w:t xml:space="preserve"> </w:t>
      </w:r>
      <w:r w:rsidR="00141D80">
        <w:t>Whether the Supreme Court’s interpretation of international humanitarian law in this case is an accurate one is a question of some dispute, even where one recognises the desirability of rights-based protections for detainees as a matter of principle. See, for example, Fionnuala ní Aoláin, “</w:t>
      </w:r>
      <w:r w:rsidR="008E6577">
        <w:t xml:space="preserve">Hamdan and Common Article 3: Did the Supreme Court Get it Right?” (2007) 91 </w:t>
      </w:r>
      <w:r w:rsidR="008E6577">
        <w:rPr>
          <w:i/>
        </w:rPr>
        <w:t>Minnesota Law Review</w:t>
      </w:r>
      <w:r w:rsidR="008E6577">
        <w:t xml:space="preserve"> 1525.</w:t>
      </w:r>
    </w:p>
  </w:footnote>
  <w:footnote w:id="22">
    <w:p w:rsidR="008E6F49" w:rsidRPr="008E6577" w:rsidRDefault="008E6F49" w:rsidP="008E6577">
      <w:pPr>
        <w:rPr>
          <w:sz w:val="20"/>
          <w:szCs w:val="20"/>
        </w:rPr>
      </w:pPr>
      <w:r>
        <w:rPr>
          <w:rStyle w:val="FootnoteReference"/>
        </w:rPr>
        <w:footnoteRef/>
      </w:r>
      <w:r>
        <w:t xml:space="preserve"> </w:t>
      </w:r>
      <w:r w:rsidR="008E6577" w:rsidRPr="00C2531C">
        <w:rPr>
          <w:sz w:val="20"/>
          <w:szCs w:val="20"/>
        </w:rPr>
        <w:t>Military Commissions Act 2006, Pub. L. No. 109-366, 120 Stat. 2600 (2006).</w:t>
      </w:r>
    </w:p>
  </w:footnote>
  <w:footnote w:id="23">
    <w:p w:rsidR="008E6F49" w:rsidRDefault="008E6F49">
      <w:pPr>
        <w:pStyle w:val="FootnoteText"/>
      </w:pPr>
      <w:r>
        <w:rPr>
          <w:rStyle w:val="FootnoteReference"/>
        </w:rPr>
        <w:footnoteRef/>
      </w:r>
      <w:r>
        <w:t xml:space="preserve"> </w:t>
      </w:r>
      <w:r w:rsidR="008E6577">
        <w:rPr>
          <w:i/>
        </w:rPr>
        <w:t>Boumediene v Bush</w:t>
      </w:r>
      <w:r w:rsidR="008E6577">
        <w:t xml:space="preserve"> 553 U.S. 723 (2008).</w:t>
      </w:r>
    </w:p>
  </w:footnote>
  <w:footnote w:id="24">
    <w:p w:rsidR="008E6F49" w:rsidRDefault="008E6F49">
      <w:pPr>
        <w:pStyle w:val="FootnoteText"/>
      </w:pPr>
      <w:r>
        <w:rPr>
          <w:rStyle w:val="FootnoteReference"/>
        </w:rPr>
        <w:footnoteRef/>
      </w:r>
      <w:r>
        <w:t xml:space="preserve"> </w:t>
      </w:r>
      <w:r w:rsidR="008E6577">
        <w:rPr>
          <w:rStyle w:val="Emphasis"/>
        </w:rPr>
        <w:t>Boumediene</w:t>
      </w:r>
      <w:r w:rsidR="008E6577">
        <w:t xml:space="preserve"> </w:t>
      </w:r>
      <w:r w:rsidR="008E6577">
        <w:rPr>
          <w:i/>
        </w:rPr>
        <w:t>v</w:t>
      </w:r>
      <w:r w:rsidR="008E6577" w:rsidRPr="008B2CDB">
        <w:rPr>
          <w:i/>
        </w:rPr>
        <w:t xml:space="preserve"> Bush</w:t>
      </w:r>
      <w:r w:rsidR="008E6577">
        <w:t xml:space="preserve"> 553 U.S. 723, 755-756 (2008).</w:t>
      </w:r>
    </w:p>
  </w:footnote>
  <w:footnote w:id="25">
    <w:p w:rsidR="008E6F49" w:rsidRDefault="008E6F49">
      <w:pPr>
        <w:pStyle w:val="FootnoteText"/>
      </w:pPr>
      <w:r>
        <w:rPr>
          <w:rStyle w:val="FootnoteReference"/>
        </w:rPr>
        <w:footnoteRef/>
      </w:r>
      <w:r>
        <w:t xml:space="preserve"> </w:t>
      </w:r>
      <w:r w:rsidR="008E6577">
        <w:t>Review and Disposition of Individuals Detained at the Guantanamo Bay Naval Base and Closure of Detention Facilities, January 22, 2009, Executive Order No. 13,492, 74 Fed. 4897 Reg. (January 27, 2009); Review of Detention Policy Options, January 22, 2009, Executive Order No 13,493, 74 Fed. Ref. 4901 (January 27, 2009).</w:t>
      </w:r>
    </w:p>
  </w:footnote>
  <w:footnote w:id="26">
    <w:p w:rsidR="00693948" w:rsidRPr="00693948" w:rsidRDefault="00693948">
      <w:pPr>
        <w:pStyle w:val="FootnoteText"/>
        <w:rPr>
          <w:lang w:val="en-IE"/>
        </w:rPr>
      </w:pPr>
      <w:r>
        <w:rPr>
          <w:rStyle w:val="FootnoteReference"/>
        </w:rPr>
        <w:footnoteRef/>
      </w:r>
      <w:r>
        <w:t xml:space="preserve"> </w:t>
      </w:r>
      <w:r>
        <w:rPr>
          <w:lang w:val="en-IE"/>
        </w:rPr>
        <w:t xml:space="preserve">David Jenkins, “The closure of Guantánamo Bay: What next for the detainees?” [2010] </w:t>
      </w:r>
      <w:r>
        <w:rPr>
          <w:i/>
          <w:lang w:val="en-IE"/>
        </w:rPr>
        <w:t>Public Law</w:t>
      </w:r>
      <w:r>
        <w:rPr>
          <w:lang w:val="en-IE"/>
        </w:rPr>
        <w:t xml:space="preserve"> 46</w:t>
      </w:r>
      <w:r w:rsidR="00B92573">
        <w:rPr>
          <w:lang w:val="en-IE"/>
        </w:rPr>
        <w:t>,</w:t>
      </w:r>
      <w:r w:rsidR="00EB5919">
        <w:rPr>
          <w:lang w:val="en-IE"/>
        </w:rPr>
        <w:t xml:space="preserve"> p. 50.</w:t>
      </w:r>
    </w:p>
  </w:footnote>
  <w:footnote w:id="27">
    <w:p w:rsidR="00EB5919" w:rsidRPr="00EB5919" w:rsidRDefault="00EB5919">
      <w:pPr>
        <w:pStyle w:val="FootnoteText"/>
        <w:rPr>
          <w:lang w:val="en-IE"/>
        </w:rPr>
      </w:pPr>
      <w:r>
        <w:rPr>
          <w:rStyle w:val="FootnoteReference"/>
        </w:rPr>
        <w:footnoteRef/>
      </w:r>
      <w:r>
        <w:t xml:space="preserve"> Review and Disposition of Individuals Detained at the Guantanamo Bay Naval Base and Closure of Detention Facilities, January 22, 2009, Executive Order No. 13,492, 74 Fed. 4897 Reg. (January 27, 2009).</w:t>
      </w:r>
    </w:p>
  </w:footnote>
  <w:footnote w:id="28">
    <w:p w:rsidR="00EB5919" w:rsidRPr="00EB5919" w:rsidRDefault="00EB5919">
      <w:pPr>
        <w:pStyle w:val="FootnoteText"/>
        <w:rPr>
          <w:lang w:val="en-IE"/>
        </w:rPr>
      </w:pPr>
      <w:r>
        <w:rPr>
          <w:rStyle w:val="FootnoteReference"/>
        </w:rPr>
        <w:footnoteRef/>
      </w:r>
      <w:r>
        <w:t xml:space="preserve"> </w:t>
      </w:r>
      <w:r>
        <w:rPr>
          <w:i/>
          <w:lang w:val="en-IE"/>
        </w:rPr>
        <w:t>Ibid</w:t>
      </w:r>
      <w:r>
        <w:rPr>
          <w:lang w:val="en-IE"/>
        </w:rPr>
        <w:t>, s. 3.</w:t>
      </w:r>
    </w:p>
  </w:footnote>
  <w:footnote w:id="29">
    <w:p w:rsidR="00E04052" w:rsidRPr="00E04052" w:rsidRDefault="00E04052">
      <w:pPr>
        <w:pStyle w:val="FootnoteText"/>
        <w:rPr>
          <w:lang w:val="en-IE"/>
        </w:rPr>
      </w:pPr>
      <w:r>
        <w:rPr>
          <w:rStyle w:val="FootnoteReference"/>
        </w:rPr>
        <w:footnoteRef/>
      </w:r>
      <w:r>
        <w:t xml:space="preserve"> </w:t>
      </w:r>
      <w:r>
        <w:rPr>
          <w:lang w:val="en-IE"/>
        </w:rPr>
        <w:t>Guantánamo Review Task Force, Final Report, January 22, 2010.</w:t>
      </w:r>
    </w:p>
  </w:footnote>
  <w:footnote w:id="30">
    <w:p w:rsidR="008133CB" w:rsidRPr="008133CB" w:rsidRDefault="008133CB">
      <w:pPr>
        <w:pStyle w:val="FootnoteText"/>
        <w:rPr>
          <w:lang w:val="en-IE"/>
        </w:rPr>
      </w:pPr>
      <w:r>
        <w:rPr>
          <w:rStyle w:val="FootnoteReference"/>
        </w:rPr>
        <w:footnoteRef/>
      </w:r>
      <w:r>
        <w:t xml:space="preserve"> </w:t>
      </w:r>
      <w:r>
        <w:rPr>
          <w:i/>
          <w:lang w:val="en-IE"/>
        </w:rPr>
        <w:t>Ibid</w:t>
      </w:r>
      <w:r>
        <w:rPr>
          <w:lang w:val="en-IE"/>
        </w:rPr>
        <w:t>, p. 15.</w:t>
      </w:r>
    </w:p>
  </w:footnote>
  <w:footnote w:id="31">
    <w:p w:rsidR="0042774A" w:rsidRPr="00B92573" w:rsidRDefault="0042774A">
      <w:pPr>
        <w:pStyle w:val="FootnoteText"/>
        <w:rPr>
          <w:lang w:val="en-IE"/>
        </w:rPr>
      </w:pPr>
      <w:r>
        <w:rPr>
          <w:rStyle w:val="FootnoteReference"/>
        </w:rPr>
        <w:footnoteRef/>
      </w:r>
      <w:r>
        <w:t xml:space="preserve"> </w:t>
      </w:r>
      <w:r w:rsidR="00B92573">
        <w:t xml:space="preserve">See, for example, Margaret Satterthwaite, “Rendered Meaningless: Extraordinary Rendition and the Rule of Law” (2006-2007) 75 </w:t>
      </w:r>
      <w:r w:rsidR="00B92573">
        <w:rPr>
          <w:i/>
        </w:rPr>
        <w:t>George Washington Law Review</w:t>
      </w:r>
      <w:r w:rsidR="00B92573">
        <w:t xml:space="preserve"> 1333; Kristen Boon, Aziz Huq &amp; Douglas Lovelace, </w:t>
      </w:r>
      <w:r w:rsidR="00B92573">
        <w:rPr>
          <w:i/>
        </w:rPr>
        <w:t>Extraordinary Rendition</w:t>
      </w:r>
      <w:r w:rsidR="00B92573">
        <w:t>,</w:t>
      </w:r>
      <w:r w:rsidR="00B92573">
        <w:rPr>
          <w:i/>
        </w:rPr>
        <w:t xml:space="preserve"> </w:t>
      </w:r>
      <w:r w:rsidR="00B92573" w:rsidRPr="00B92573">
        <w:t>Volume 108 of Terrorism: Commentary on Security Documents</w:t>
      </w:r>
      <w:r w:rsidR="00B92573">
        <w:t xml:space="preserve"> (2010, Oxford; Oxford University Press).</w:t>
      </w:r>
    </w:p>
  </w:footnote>
  <w:footnote w:id="32">
    <w:p w:rsidR="00BA5168" w:rsidRPr="00BA5168" w:rsidRDefault="00BA5168">
      <w:pPr>
        <w:pStyle w:val="FootnoteText"/>
        <w:rPr>
          <w:lang w:val="en-IE"/>
        </w:rPr>
      </w:pPr>
      <w:r>
        <w:rPr>
          <w:rStyle w:val="FootnoteReference"/>
        </w:rPr>
        <w:footnoteRef/>
      </w:r>
      <w:r>
        <w:t xml:space="preserve"> </w:t>
      </w:r>
      <w:r>
        <w:rPr>
          <w:lang w:val="en-IE"/>
        </w:rPr>
        <w:t>Lyle Denniston, “One significant detainee case over?”, SCOTU</w:t>
      </w:r>
      <w:r w:rsidR="00554AC0">
        <w:rPr>
          <w:lang w:val="en-IE"/>
        </w:rPr>
        <w:t>S</w:t>
      </w:r>
      <w:r>
        <w:rPr>
          <w:lang w:val="en-IE"/>
        </w:rPr>
        <w:t xml:space="preserve">BLOG, January 6, 2011. Available at </w:t>
      </w:r>
      <w:hyperlink r:id="rId2" w:history="1">
        <w:r w:rsidRPr="00047C1B">
          <w:rPr>
            <w:rStyle w:val="Hyperlink"/>
            <w:lang w:val="en-IE"/>
          </w:rPr>
          <w:t>http://www.scotusblog.com/2011/01/one-detainee-case-over/</w:t>
        </w:r>
      </w:hyperlink>
      <w:r w:rsidR="00554AC0">
        <w:rPr>
          <w:lang w:val="en-IE"/>
        </w:rPr>
        <w:t xml:space="preserve">   (</w:t>
      </w:r>
      <w:r>
        <w:rPr>
          <w:lang w:val="en-IE"/>
        </w:rPr>
        <w:t>March</w:t>
      </w:r>
      <w:r w:rsidR="00554AC0">
        <w:rPr>
          <w:lang w:val="en-IE"/>
        </w:rPr>
        <w:t xml:space="preserve"> 17,</w:t>
      </w:r>
      <w:r>
        <w:rPr>
          <w:lang w:val="en-IE"/>
        </w:rPr>
        <w:t xml:space="preserve"> 2011).</w:t>
      </w:r>
    </w:p>
  </w:footnote>
  <w:footnote w:id="33">
    <w:p w:rsidR="00BE0EBA" w:rsidRPr="00BE0EBA" w:rsidRDefault="00BE0EBA">
      <w:pPr>
        <w:pStyle w:val="FootnoteText"/>
        <w:rPr>
          <w:lang w:val="en-IE"/>
        </w:rPr>
      </w:pPr>
      <w:r>
        <w:rPr>
          <w:rStyle w:val="FootnoteReference"/>
        </w:rPr>
        <w:footnoteRef/>
      </w:r>
      <w:r>
        <w:t xml:space="preserve"> </w:t>
      </w:r>
      <w:r>
        <w:rPr>
          <w:lang w:val="en-IE"/>
        </w:rPr>
        <w:t xml:space="preserve">Final Status Report and Application to Dismiss as Moot, </w:t>
      </w:r>
      <w:r>
        <w:rPr>
          <w:i/>
          <w:lang w:val="en-IE"/>
        </w:rPr>
        <w:t>Mohammed v Obama</w:t>
      </w:r>
      <w:r>
        <w:rPr>
          <w:lang w:val="en-IE"/>
        </w:rPr>
        <w:t xml:space="preserve">, Nos. 10-5034 &amp; 10-5045, US Court of Appeals for the District of Columbia Circuit, January 6, 2011. Available at </w:t>
      </w:r>
      <w:hyperlink r:id="rId3" w:history="1">
        <w:r w:rsidRPr="00047C1B">
          <w:rPr>
            <w:rStyle w:val="Hyperlink"/>
            <w:lang w:val="en-IE"/>
          </w:rPr>
          <w:t>http://sblog.s3.amazonaws.com/wp-content/uploads/2011/01/Mohammed-dismissal-motion-1-6-111.pdf</w:t>
        </w:r>
      </w:hyperlink>
      <w:r>
        <w:rPr>
          <w:lang w:val="en-IE"/>
        </w:rPr>
        <w:t xml:space="preserve">  (March 17, 2011).</w:t>
      </w:r>
    </w:p>
  </w:footnote>
  <w:footnote w:id="34">
    <w:p w:rsidR="00535811" w:rsidRPr="00535811" w:rsidRDefault="00535811">
      <w:pPr>
        <w:pStyle w:val="FootnoteText"/>
        <w:rPr>
          <w:lang w:val="en-IE"/>
        </w:rPr>
      </w:pPr>
      <w:r>
        <w:rPr>
          <w:rStyle w:val="FootnoteReference"/>
        </w:rPr>
        <w:footnoteRef/>
      </w:r>
      <w:r>
        <w:t xml:space="preserve"> </w:t>
      </w:r>
      <w:r w:rsidR="00216E3F">
        <w:rPr>
          <w:lang w:val="en-IE"/>
        </w:rPr>
        <w:t xml:space="preserve">Guantánamo Review Task Force, Final Report, January 22, 2010, </w:t>
      </w:r>
      <w:r>
        <w:rPr>
          <w:lang w:val="en-IE"/>
        </w:rPr>
        <w:t xml:space="preserve"> p. 17.</w:t>
      </w:r>
    </w:p>
  </w:footnote>
  <w:footnote w:id="35">
    <w:p w:rsidR="00535811" w:rsidRPr="00CF074E" w:rsidRDefault="00535811">
      <w:pPr>
        <w:pStyle w:val="FootnoteText"/>
        <w:rPr>
          <w:lang w:val="en-IE"/>
        </w:rPr>
      </w:pPr>
      <w:r>
        <w:rPr>
          <w:rStyle w:val="FootnoteReference"/>
        </w:rPr>
        <w:footnoteRef/>
      </w:r>
      <w:r>
        <w:t xml:space="preserve"> </w:t>
      </w:r>
      <w:r w:rsidR="00CF074E">
        <w:t xml:space="preserve">Dissenting judgment, Scalia J. in </w:t>
      </w:r>
      <w:r w:rsidR="00CF074E">
        <w:rPr>
          <w:i/>
        </w:rPr>
        <w:t xml:space="preserve">Boumediene v Bush </w:t>
      </w:r>
      <w:r w:rsidR="00CF074E">
        <w:t>553 U.S. 723 (2008).</w:t>
      </w:r>
    </w:p>
  </w:footnote>
  <w:footnote w:id="36">
    <w:p w:rsidR="00CF074E" w:rsidRPr="00CF074E" w:rsidRDefault="00CF074E">
      <w:pPr>
        <w:pStyle w:val="FootnoteText"/>
        <w:rPr>
          <w:lang w:val="en-IE"/>
        </w:rPr>
      </w:pPr>
      <w:r>
        <w:rPr>
          <w:rStyle w:val="FootnoteReference"/>
        </w:rPr>
        <w:footnoteRef/>
      </w:r>
      <w:r>
        <w:t xml:space="preserve"> H.R. 6523, Pub.L. 111-383.</w:t>
      </w:r>
    </w:p>
  </w:footnote>
  <w:footnote w:id="37">
    <w:p w:rsidR="0042774A" w:rsidRPr="00913C9D" w:rsidRDefault="0042774A" w:rsidP="0042774A">
      <w:pPr>
        <w:pStyle w:val="FootnoteText"/>
        <w:rPr>
          <w:lang w:val="en-IE"/>
        </w:rPr>
      </w:pPr>
      <w:r>
        <w:rPr>
          <w:rStyle w:val="FootnoteReference"/>
        </w:rPr>
        <w:footnoteRef/>
      </w:r>
      <w:r>
        <w:t xml:space="preserve"> Section 1033 (a)(1), H.R. 6523, the ‘Ike Skelton National Defense Authorization Act for Fiscal Year 2011’. </w:t>
      </w:r>
    </w:p>
  </w:footnote>
  <w:footnote w:id="38">
    <w:p w:rsidR="0042774A" w:rsidRPr="0027629F" w:rsidRDefault="0042774A" w:rsidP="0042774A">
      <w:pPr>
        <w:pStyle w:val="FootnoteText"/>
        <w:rPr>
          <w:lang w:val="en-IE"/>
        </w:rPr>
      </w:pPr>
      <w:r>
        <w:rPr>
          <w:rStyle w:val="FootnoteReference"/>
        </w:rPr>
        <w:footnoteRef/>
      </w:r>
      <w:r>
        <w:t xml:space="preserve"> Section 1033 (b), H.R. 6523, the ‘Ike Skelton National Defense Authorization Act for Fiscal Year 2011’. </w:t>
      </w:r>
    </w:p>
  </w:footnote>
  <w:footnote w:id="39">
    <w:p w:rsidR="00216E3F" w:rsidRPr="00216E3F" w:rsidRDefault="00216E3F">
      <w:pPr>
        <w:pStyle w:val="FootnoteText"/>
        <w:rPr>
          <w:lang w:val="en-IE"/>
        </w:rPr>
      </w:pPr>
      <w:r>
        <w:rPr>
          <w:rStyle w:val="FootnoteReference"/>
        </w:rPr>
        <w:footnoteRef/>
      </w:r>
      <w:r>
        <w:t xml:space="preserve"> </w:t>
      </w:r>
      <w:r w:rsidR="000E01DE" w:rsidRPr="006649F9">
        <w:rPr>
          <w:i/>
        </w:rPr>
        <w:t xml:space="preserve">INS </w:t>
      </w:r>
      <w:r w:rsidR="000E01DE" w:rsidRPr="000E01DE">
        <w:rPr>
          <w:i/>
        </w:rPr>
        <w:t xml:space="preserve">v </w:t>
      </w:r>
      <w:r w:rsidR="000E01DE" w:rsidRPr="006649F9">
        <w:rPr>
          <w:i/>
        </w:rPr>
        <w:t xml:space="preserve">St. Cyr </w:t>
      </w:r>
      <w:r w:rsidR="000E01DE" w:rsidRPr="006649F9">
        <w:t>533 US 289 (2001)</w:t>
      </w:r>
      <w:r w:rsidR="000E01DE">
        <w:t>.</w:t>
      </w:r>
    </w:p>
  </w:footnote>
  <w:footnote w:id="40">
    <w:p w:rsidR="000D2BCD" w:rsidRPr="000D2BCD" w:rsidRDefault="000D2BCD" w:rsidP="000D2BCD">
      <w:pPr>
        <w:autoSpaceDE w:val="0"/>
        <w:autoSpaceDN w:val="0"/>
        <w:adjustRightInd w:val="0"/>
        <w:rPr>
          <w:sz w:val="20"/>
          <w:szCs w:val="20"/>
          <w:lang w:val="en-IE"/>
        </w:rPr>
      </w:pPr>
      <w:r w:rsidRPr="000D2BCD">
        <w:rPr>
          <w:rStyle w:val="FootnoteReference"/>
          <w:sz w:val="20"/>
          <w:szCs w:val="20"/>
        </w:rPr>
        <w:footnoteRef/>
      </w:r>
      <w:r w:rsidRPr="000D2BCD">
        <w:rPr>
          <w:sz w:val="20"/>
          <w:szCs w:val="20"/>
        </w:rPr>
        <w:t xml:space="preserve"> </w:t>
      </w:r>
      <w:r w:rsidRPr="000D2BCD">
        <w:rPr>
          <w:i/>
          <w:iCs/>
          <w:color w:val="010101"/>
          <w:sz w:val="20"/>
          <w:szCs w:val="20"/>
          <w:lang w:val="en-IE" w:eastAsia="en-IE"/>
        </w:rPr>
        <w:t>Kiyemba v. Obama</w:t>
      </w:r>
      <w:r w:rsidRPr="000D2BCD">
        <w:rPr>
          <w:color w:val="010101"/>
          <w:sz w:val="20"/>
          <w:szCs w:val="20"/>
          <w:lang w:val="en-IE" w:eastAsia="en-IE"/>
        </w:rPr>
        <w:t xml:space="preserve"> 555 F.3d 1022 (D.C. Cir. 2009).</w:t>
      </w:r>
    </w:p>
  </w:footnote>
  <w:footnote w:id="41">
    <w:p w:rsidR="00216E3F" w:rsidRPr="00216E3F" w:rsidRDefault="00216E3F">
      <w:pPr>
        <w:pStyle w:val="FootnoteText"/>
        <w:rPr>
          <w:lang w:val="en-IE"/>
        </w:rPr>
      </w:pPr>
      <w:r>
        <w:rPr>
          <w:rStyle w:val="FootnoteReference"/>
        </w:rPr>
        <w:footnoteRef/>
      </w:r>
      <w:r>
        <w:t xml:space="preserve"> </w:t>
      </w:r>
      <w:r>
        <w:rPr>
          <w:lang w:val="en-IE"/>
        </w:rPr>
        <w:t>Guantánamo Review Task Force, Final Report, January 22, 2010, p. 19.</w:t>
      </w:r>
    </w:p>
  </w:footnote>
  <w:footnote w:id="42">
    <w:p w:rsidR="000C2976" w:rsidRPr="000C2976" w:rsidRDefault="000C2976">
      <w:pPr>
        <w:pStyle w:val="FootnoteText"/>
        <w:rPr>
          <w:lang w:val="en-IE"/>
        </w:rPr>
      </w:pPr>
      <w:r>
        <w:rPr>
          <w:rStyle w:val="FootnoteReference"/>
        </w:rPr>
        <w:footnoteRef/>
      </w:r>
      <w:r>
        <w:t xml:space="preserve"> </w:t>
      </w:r>
      <w:r w:rsidR="00DF3B6A">
        <w:t xml:space="preserve">“There is a presumption that, where feasible, referred cases will be prosecuted in an Article III court, in keeping with traditional principles of federal prosecution”, </w:t>
      </w:r>
      <w:r w:rsidR="00DF3B6A">
        <w:rPr>
          <w:iCs/>
          <w:lang w:val="en-IE"/>
        </w:rPr>
        <w:t xml:space="preserve">Protocol: Determination of Guantánamo Cases Referred for Prosecution, </w:t>
      </w:r>
      <w:r w:rsidR="00DF3B6A">
        <w:t xml:space="preserve">July 20, 2009, p. 1. Available at </w:t>
      </w:r>
      <w:hyperlink r:id="rId4" w:history="1">
        <w:r w:rsidR="00DF3B6A" w:rsidRPr="00047C1B">
          <w:rPr>
            <w:rStyle w:val="Hyperlink"/>
          </w:rPr>
          <w:t>http://online.wsj.com/public/resources/documents/gitmoA072009.pdf</w:t>
        </w:r>
      </w:hyperlink>
      <w:r w:rsidR="00DF3B6A">
        <w:t xml:space="preserve">  (March 17, 2011).</w:t>
      </w:r>
    </w:p>
  </w:footnote>
  <w:footnote w:id="43">
    <w:p w:rsidR="00AB3E57" w:rsidRPr="00AB3E57" w:rsidRDefault="00AB3E57">
      <w:pPr>
        <w:pStyle w:val="FootnoteText"/>
        <w:rPr>
          <w:lang w:val="en-IE"/>
        </w:rPr>
      </w:pPr>
      <w:r>
        <w:rPr>
          <w:rStyle w:val="FootnoteReference"/>
        </w:rPr>
        <w:footnoteRef/>
      </w:r>
      <w:r>
        <w:t xml:space="preserve"> </w:t>
      </w:r>
      <w:r>
        <w:rPr>
          <w:lang w:val="en-IE"/>
        </w:rPr>
        <w:t xml:space="preserve">E. Holder, Testimony to the Senate Judiciary Committee, 18 November 2009. Available at </w:t>
      </w:r>
      <w:hyperlink r:id="rId5" w:history="1">
        <w:r w:rsidRPr="001B287B">
          <w:rPr>
            <w:rStyle w:val="Hyperlink"/>
            <w:lang w:val="en-IE"/>
          </w:rPr>
          <w:t>http://www.justice.gov/ag/testimony/2009/ag-testimony-091118.html</w:t>
        </w:r>
      </w:hyperlink>
      <w:r>
        <w:rPr>
          <w:lang w:val="en-IE"/>
        </w:rPr>
        <w:t xml:space="preserve">   (15 March 2011).</w:t>
      </w:r>
    </w:p>
  </w:footnote>
  <w:footnote w:id="44">
    <w:p w:rsidR="001C5D41" w:rsidRPr="001C5D41" w:rsidRDefault="001C5D41">
      <w:pPr>
        <w:pStyle w:val="FootnoteText"/>
        <w:rPr>
          <w:lang w:val="en-IE"/>
        </w:rPr>
      </w:pPr>
      <w:r>
        <w:rPr>
          <w:rStyle w:val="FootnoteReference"/>
        </w:rPr>
        <w:footnoteRef/>
      </w:r>
      <w:r>
        <w:t xml:space="preserve"> </w:t>
      </w:r>
      <w:r>
        <w:rPr>
          <w:lang w:val="en-IE"/>
        </w:rPr>
        <w:t xml:space="preserve">S. Shane &amp; B. Wieser, “US Drops Plan for a 9/11 Trial in New York City”, </w:t>
      </w:r>
      <w:r>
        <w:rPr>
          <w:i/>
          <w:lang w:val="en-IE"/>
        </w:rPr>
        <w:t>New York Times</w:t>
      </w:r>
      <w:r>
        <w:rPr>
          <w:lang w:val="en-IE"/>
        </w:rPr>
        <w:t>, p.A1, 29 January 2010.</w:t>
      </w:r>
    </w:p>
  </w:footnote>
  <w:footnote w:id="45">
    <w:p w:rsidR="000C2976" w:rsidRPr="000C2976" w:rsidRDefault="000C2976">
      <w:pPr>
        <w:pStyle w:val="FootnoteText"/>
        <w:rPr>
          <w:lang w:val="en-IE"/>
        </w:rPr>
      </w:pPr>
      <w:r>
        <w:rPr>
          <w:rStyle w:val="FootnoteReference"/>
        </w:rPr>
        <w:footnoteRef/>
      </w:r>
      <w:r>
        <w:t xml:space="preserve"> Section 1032, H.R. 6523, the ‘Ike Skelton National Defense Authorization Act for Fiscal Year 2011’. </w:t>
      </w:r>
    </w:p>
  </w:footnote>
  <w:footnote w:id="46">
    <w:p w:rsidR="00FD0A3E" w:rsidRPr="00FD0A3E" w:rsidRDefault="00FD0A3E">
      <w:pPr>
        <w:pStyle w:val="FootnoteText"/>
        <w:rPr>
          <w:lang w:val="en-IE"/>
        </w:rPr>
      </w:pPr>
      <w:r>
        <w:rPr>
          <w:rStyle w:val="FootnoteReference"/>
        </w:rPr>
        <w:footnoteRef/>
      </w:r>
      <w:r>
        <w:t xml:space="preserve"> Periodic Review of Individuals Detained at Guantánamo Bay Naval Station Pursuant to the Authorization for Use of Military Force, March 7, 2001. Available at </w:t>
      </w:r>
      <w:hyperlink r:id="rId6" w:history="1">
        <w:r w:rsidRPr="00047C1B">
          <w:rPr>
            <w:rStyle w:val="Hyperlink"/>
          </w:rPr>
          <w:t>http://www.whitehouse.gov/sites/default/files/Executive_Order_on_Periodic_Review.pdf</w:t>
        </w:r>
      </w:hyperlink>
      <w:r>
        <w:t xml:space="preserve">  (March 11, 2011).</w:t>
      </w:r>
    </w:p>
  </w:footnote>
  <w:footnote w:id="47">
    <w:p w:rsidR="000C2976" w:rsidRPr="000C2976" w:rsidRDefault="000C2976">
      <w:pPr>
        <w:pStyle w:val="FootnoteText"/>
        <w:rPr>
          <w:lang w:val="en-IE"/>
        </w:rPr>
      </w:pPr>
      <w:r>
        <w:rPr>
          <w:rStyle w:val="FootnoteReference"/>
        </w:rPr>
        <w:footnoteRef/>
      </w:r>
      <w:r>
        <w:t xml:space="preserve"> </w:t>
      </w:r>
      <w:r>
        <w:rPr>
          <w:i/>
          <w:lang w:val="en-IE"/>
        </w:rPr>
        <w:t>Ibid</w:t>
      </w:r>
      <w:r>
        <w:rPr>
          <w:lang w:val="en-IE"/>
        </w:rPr>
        <w:t>.</w:t>
      </w:r>
    </w:p>
  </w:footnote>
  <w:footnote w:id="48">
    <w:p w:rsidR="00FE5E00" w:rsidRPr="00FE5E00" w:rsidRDefault="00FE5E00">
      <w:pPr>
        <w:pStyle w:val="FootnoteText"/>
        <w:rPr>
          <w:lang w:val="en-IE"/>
        </w:rPr>
      </w:pPr>
      <w:r>
        <w:rPr>
          <w:rStyle w:val="FootnoteReference"/>
        </w:rPr>
        <w:footnoteRef/>
      </w:r>
      <w:r>
        <w:t xml:space="preserve"> </w:t>
      </w:r>
      <w:r>
        <w:rPr>
          <w:lang w:val="en-IE"/>
        </w:rPr>
        <w:t>Guantánamo Review Task Force, Final Report, January 22, 2010, p. 23.</w:t>
      </w:r>
    </w:p>
  </w:footnote>
  <w:footnote w:id="49">
    <w:p w:rsidR="00FE5E00" w:rsidRPr="00FE5E00" w:rsidRDefault="00FE5E00">
      <w:pPr>
        <w:pStyle w:val="FootnoteText"/>
        <w:rPr>
          <w:lang w:val="en-IE"/>
        </w:rPr>
      </w:pPr>
      <w:r>
        <w:rPr>
          <w:rStyle w:val="FootnoteReference"/>
        </w:rPr>
        <w:footnoteRef/>
      </w:r>
      <w:r>
        <w:t xml:space="preserve"> </w:t>
      </w:r>
      <w:r>
        <w:rPr>
          <w:i/>
          <w:lang w:val="en-IE"/>
        </w:rPr>
        <w:t>Ibid</w:t>
      </w:r>
      <w:r>
        <w:rPr>
          <w:lang w:val="en-IE"/>
        </w:rPr>
        <w:t>, p. 24.</w:t>
      </w:r>
    </w:p>
  </w:footnote>
  <w:footnote w:id="50">
    <w:p w:rsidR="00FE5E00" w:rsidRPr="00FE5E00" w:rsidRDefault="00FE5E00">
      <w:pPr>
        <w:pStyle w:val="FootnoteText"/>
        <w:rPr>
          <w:lang w:val="en-IE"/>
        </w:rPr>
      </w:pPr>
      <w:r>
        <w:rPr>
          <w:rStyle w:val="FootnoteReference"/>
        </w:rPr>
        <w:footnoteRef/>
      </w:r>
      <w:r>
        <w:t xml:space="preserve"> </w:t>
      </w:r>
      <w:r>
        <w:rPr>
          <w:i/>
          <w:lang w:val="en-IE"/>
        </w:rPr>
        <w:t>Ibid</w:t>
      </w:r>
      <w:r>
        <w:rPr>
          <w:lang w:val="en-IE"/>
        </w:rPr>
        <w:t>.</w:t>
      </w:r>
    </w:p>
  </w:footnote>
  <w:footnote w:id="51">
    <w:p w:rsidR="00FE5E00" w:rsidRPr="00FE5E00" w:rsidRDefault="00FE5E00">
      <w:pPr>
        <w:pStyle w:val="FootnoteText"/>
        <w:rPr>
          <w:lang w:val="en-IE"/>
        </w:rPr>
      </w:pPr>
      <w:r>
        <w:rPr>
          <w:rStyle w:val="FootnoteReference"/>
        </w:rPr>
        <w:footnoteRef/>
      </w:r>
      <w:r>
        <w:t xml:space="preserve"> </w:t>
      </w:r>
      <w:r>
        <w:rPr>
          <w:i/>
          <w:lang w:val="en-IE"/>
        </w:rPr>
        <w:t>Ibid</w:t>
      </w:r>
      <w:r>
        <w:rPr>
          <w:lang w:val="en-IE"/>
        </w:rPr>
        <w:t>.</w:t>
      </w:r>
    </w:p>
  </w:footnote>
  <w:footnote w:id="52">
    <w:p w:rsidR="00FE5E00" w:rsidRPr="00FE5E00" w:rsidRDefault="00FE5E00">
      <w:pPr>
        <w:pStyle w:val="FootnoteText"/>
        <w:rPr>
          <w:lang w:val="en-IE"/>
        </w:rPr>
      </w:pPr>
      <w:r>
        <w:rPr>
          <w:rStyle w:val="FootnoteReference"/>
        </w:rPr>
        <w:footnoteRef/>
      </w:r>
      <w:r>
        <w:t xml:space="preserve"> </w:t>
      </w:r>
      <w:r>
        <w:rPr>
          <w:i/>
          <w:lang w:val="en-IE"/>
        </w:rPr>
        <w:t>Ibid</w:t>
      </w:r>
      <w:r>
        <w:rPr>
          <w:lang w:val="en-IE"/>
        </w:rPr>
        <w:t>.</w:t>
      </w:r>
    </w:p>
  </w:footnote>
  <w:footnote w:id="53">
    <w:p w:rsidR="00FE5E00" w:rsidRPr="00FE5E00" w:rsidRDefault="00FE5E00">
      <w:pPr>
        <w:pStyle w:val="FootnoteText"/>
        <w:rPr>
          <w:lang w:val="en-IE"/>
        </w:rPr>
      </w:pPr>
      <w:r>
        <w:rPr>
          <w:rStyle w:val="FootnoteReference"/>
        </w:rPr>
        <w:footnoteRef/>
      </w:r>
      <w:r>
        <w:t xml:space="preserve"> </w:t>
      </w:r>
      <w:r>
        <w:rPr>
          <w:i/>
          <w:lang w:val="en-IE"/>
        </w:rPr>
        <w:t>Ibid</w:t>
      </w:r>
      <w:r>
        <w:rPr>
          <w:lang w:val="en-IE"/>
        </w:rPr>
        <w:t>, p. 25.</w:t>
      </w:r>
      <w:r w:rsidR="00FD0A3E">
        <w:rPr>
          <w:lang w:val="en-IE"/>
        </w:rPr>
        <w:t xml:space="preserve"> </w:t>
      </w:r>
      <w:r w:rsidR="00FD0A3E">
        <w:t xml:space="preserve">Periodic Review of Individuals Detained at Guantánamo Bay Naval Station Pursuant to the Authorization for Use of Military Force, March 7, 2001. Available at </w:t>
      </w:r>
      <w:hyperlink r:id="rId7" w:history="1">
        <w:r w:rsidR="00FD0A3E" w:rsidRPr="00047C1B">
          <w:rPr>
            <w:rStyle w:val="Hyperlink"/>
          </w:rPr>
          <w:t>http://www.whitehouse.gov/sites/default/files/Executive_Order_on_Periodic_Review.pdf</w:t>
        </w:r>
      </w:hyperlink>
      <w:r w:rsidR="00FD0A3E">
        <w:t xml:space="preserve">  (March 11, 2011).</w:t>
      </w:r>
    </w:p>
  </w:footnote>
  <w:footnote w:id="54">
    <w:p w:rsidR="001E6815" w:rsidRPr="00BA1D2C" w:rsidRDefault="001E6815" w:rsidP="001E6815">
      <w:pPr>
        <w:pStyle w:val="FootnoteText"/>
        <w:spacing w:line="276" w:lineRule="auto"/>
        <w:rPr>
          <w:lang w:val="en-IE"/>
        </w:rPr>
      </w:pPr>
      <w:r>
        <w:rPr>
          <w:rStyle w:val="FootnoteReference"/>
        </w:rPr>
        <w:footnoteRef/>
      </w:r>
      <w:r>
        <w:t xml:space="preserve"> </w:t>
      </w:r>
      <w:r>
        <w:rPr>
          <w:lang w:val="en-IE"/>
        </w:rPr>
        <w:t>These provisions were inserted into spending and appropriations bills for Homeland Security, Defense, the State Department, and Commerce, Just</w:t>
      </w:r>
      <w:r w:rsidR="00FD0A3E">
        <w:rPr>
          <w:lang w:val="en-IE"/>
        </w:rPr>
        <w:t>ice and Science. See Walter Alarkon</w:t>
      </w:r>
      <w:r>
        <w:rPr>
          <w:lang w:val="en-IE"/>
        </w:rPr>
        <w:t xml:space="preserve">, “Congress Uses Spending Bills to Halt Closing of Guantánamo Bay”, </w:t>
      </w:r>
      <w:r>
        <w:rPr>
          <w:i/>
          <w:lang w:val="en-IE"/>
        </w:rPr>
        <w:t>The Hill</w:t>
      </w:r>
      <w:r>
        <w:rPr>
          <w:lang w:val="en-IE"/>
        </w:rPr>
        <w:t>,</w:t>
      </w:r>
      <w:r w:rsidR="00FD0A3E">
        <w:rPr>
          <w:lang w:val="en-IE"/>
        </w:rPr>
        <w:t xml:space="preserve"> </w:t>
      </w:r>
      <w:r>
        <w:rPr>
          <w:lang w:val="en-IE"/>
        </w:rPr>
        <w:t>4 October 2009.</w:t>
      </w:r>
    </w:p>
  </w:footnote>
  <w:footnote w:id="55">
    <w:p w:rsidR="001E6815" w:rsidRPr="001E6815" w:rsidRDefault="001E6815">
      <w:pPr>
        <w:pStyle w:val="FootnoteText"/>
        <w:rPr>
          <w:lang w:val="en-IE"/>
        </w:rPr>
      </w:pPr>
      <w:r>
        <w:rPr>
          <w:rStyle w:val="FootnoteReference"/>
        </w:rPr>
        <w:footnoteRef/>
      </w:r>
      <w:r>
        <w:t xml:space="preserve"> Section 1032, H.R. 6523, the ‘Ike Skelton National Defense Authorization Act for Fiscal Year 2011’. </w:t>
      </w:r>
    </w:p>
  </w:footnote>
  <w:footnote w:id="56">
    <w:p w:rsidR="001E6815" w:rsidRPr="001E6815" w:rsidRDefault="001E6815" w:rsidP="001E6815">
      <w:pPr>
        <w:pStyle w:val="FootnoteText"/>
        <w:rPr>
          <w:lang w:val="en-IE"/>
        </w:rPr>
      </w:pPr>
      <w:r>
        <w:rPr>
          <w:rStyle w:val="FootnoteReference"/>
        </w:rPr>
        <w:footnoteRef/>
      </w:r>
      <w:r>
        <w:t xml:space="preserve"> Section 1034, H.R. 6523, the ‘Ike Skelton National Defense Authorization Act for Fiscal Year 2011’. </w:t>
      </w:r>
    </w:p>
  </w:footnote>
  <w:footnote w:id="57">
    <w:p w:rsidR="00AC6115" w:rsidRPr="00AC6115" w:rsidRDefault="00AC6115">
      <w:pPr>
        <w:pStyle w:val="FootnoteText"/>
        <w:rPr>
          <w:lang w:val="en-IE"/>
        </w:rPr>
      </w:pPr>
      <w:r>
        <w:rPr>
          <w:rStyle w:val="FootnoteReference"/>
        </w:rPr>
        <w:footnoteRef/>
      </w:r>
      <w:r>
        <w:t xml:space="preserve"> Manu </w:t>
      </w:r>
      <w:r>
        <w:rPr>
          <w:lang w:val="en-US"/>
        </w:rPr>
        <w:t xml:space="preserve">Raju &amp; Elana Schor, “Feinstein, Harkin aim to shut Guantánamo through Defense Authorization Bill” </w:t>
      </w:r>
      <w:r>
        <w:rPr>
          <w:i/>
          <w:lang w:val="en-US"/>
        </w:rPr>
        <w:t>The Hill</w:t>
      </w:r>
      <w:r>
        <w:rPr>
          <w:lang w:val="en-US"/>
        </w:rPr>
        <w:t>,</w:t>
      </w:r>
      <w:r>
        <w:rPr>
          <w:i/>
          <w:lang w:val="en-US"/>
        </w:rPr>
        <w:t xml:space="preserve"> </w:t>
      </w:r>
      <w:r>
        <w:rPr>
          <w:lang w:val="en-US"/>
        </w:rPr>
        <w:t>June 21, 2007.</w:t>
      </w:r>
    </w:p>
  </w:footnote>
  <w:footnote w:id="58">
    <w:p w:rsidR="00102175" w:rsidRPr="00AC6115" w:rsidRDefault="00102175">
      <w:pPr>
        <w:pStyle w:val="FootnoteText"/>
        <w:rPr>
          <w:lang w:val="en-IE"/>
        </w:rPr>
      </w:pPr>
      <w:r>
        <w:rPr>
          <w:rStyle w:val="FootnoteReference"/>
        </w:rPr>
        <w:footnoteRef/>
      </w:r>
      <w:r>
        <w:t xml:space="preserve"> </w:t>
      </w:r>
      <w:r w:rsidR="00AC6115">
        <w:t xml:space="preserve">Joan Fitzpatrick, “Speaking Law to Power: The War against Terrorism and Human Rights” (2003) 14 </w:t>
      </w:r>
      <w:r w:rsidR="00AC6115">
        <w:rPr>
          <w:i/>
        </w:rPr>
        <w:t>European Journal of International Law</w:t>
      </w:r>
      <w:r w:rsidR="00AC6115">
        <w:t xml:space="preserve"> 241.</w:t>
      </w:r>
    </w:p>
  </w:footnote>
  <w:footnote w:id="59">
    <w:p w:rsidR="00AC6115" w:rsidRPr="00AC6115" w:rsidRDefault="00AC6115">
      <w:pPr>
        <w:pStyle w:val="FootnoteText"/>
        <w:rPr>
          <w:lang w:val="en-IE"/>
        </w:rPr>
      </w:pPr>
      <w:r>
        <w:rPr>
          <w:rStyle w:val="FootnoteReference"/>
        </w:rPr>
        <w:footnoteRef/>
      </w:r>
      <w:r>
        <w:t xml:space="preserve"> </w:t>
      </w:r>
      <w:r>
        <w:rPr>
          <w:lang w:val="en-IE"/>
        </w:rPr>
        <w:t>On the role of popular fear in the ‘War on Terrorism’ see Fiona de Londras &amp; Fergal F. Davis, “</w:t>
      </w:r>
      <w:r>
        <w:t xml:space="preserve">Controlling the Executive in Times of Terrorism: Competing Perspectives on Effective Oversight” (2010) 30 </w:t>
      </w:r>
      <w:r>
        <w:rPr>
          <w:i/>
        </w:rPr>
        <w:t>Oxford Journal of Legal Studies</w:t>
      </w:r>
      <w:r>
        <w:t xml:space="preserve"> 19, p.p. 36-38; Fiona de Londras, </w:t>
      </w:r>
      <w:r>
        <w:rPr>
          <w:i/>
        </w:rPr>
        <w:t>Detention in the War on Terror: Can Human Rights Fight Back?</w:t>
      </w:r>
      <w:r>
        <w:t xml:space="preserve"> (2011, Cambridge; Cambridge University Press), Chapter 1.</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20"/>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5211"/>
    <w:rsid w:val="00012BAF"/>
    <w:rsid w:val="00036CC5"/>
    <w:rsid w:val="00050765"/>
    <w:rsid w:val="00065FC5"/>
    <w:rsid w:val="00081777"/>
    <w:rsid w:val="00087316"/>
    <w:rsid w:val="0009645C"/>
    <w:rsid w:val="000C2976"/>
    <w:rsid w:val="000D2BCD"/>
    <w:rsid w:val="000E01DE"/>
    <w:rsid w:val="00102175"/>
    <w:rsid w:val="00125C66"/>
    <w:rsid w:val="0012605F"/>
    <w:rsid w:val="00141D80"/>
    <w:rsid w:val="0019245A"/>
    <w:rsid w:val="00192F47"/>
    <w:rsid w:val="001B71B8"/>
    <w:rsid w:val="001C5D41"/>
    <w:rsid w:val="001D6439"/>
    <w:rsid w:val="001E19E0"/>
    <w:rsid w:val="001E6815"/>
    <w:rsid w:val="00202526"/>
    <w:rsid w:val="00216E3F"/>
    <w:rsid w:val="00236C10"/>
    <w:rsid w:val="002641C2"/>
    <w:rsid w:val="002764F9"/>
    <w:rsid w:val="002B4537"/>
    <w:rsid w:val="00314072"/>
    <w:rsid w:val="00335681"/>
    <w:rsid w:val="0034244E"/>
    <w:rsid w:val="00351BEF"/>
    <w:rsid w:val="003909B3"/>
    <w:rsid w:val="00396B44"/>
    <w:rsid w:val="003C02FF"/>
    <w:rsid w:val="003C61B3"/>
    <w:rsid w:val="003D067A"/>
    <w:rsid w:val="003E174D"/>
    <w:rsid w:val="00407A5D"/>
    <w:rsid w:val="0042774A"/>
    <w:rsid w:val="00431FCB"/>
    <w:rsid w:val="00462233"/>
    <w:rsid w:val="00462F69"/>
    <w:rsid w:val="0047590B"/>
    <w:rsid w:val="00481136"/>
    <w:rsid w:val="00496B38"/>
    <w:rsid w:val="004E3E0F"/>
    <w:rsid w:val="004F7DD6"/>
    <w:rsid w:val="005215A1"/>
    <w:rsid w:val="00523484"/>
    <w:rsid w:val="00535811"/>
    <w:rsid w:val="00554AC0"/>
    <w:rsid w:val="00583DD6"/>
    <w:rsid w:val="005C6331"/>
    <w:rsid w:val="005E11C6"/>
    <w:rsid w:val="00600108"/>
    <w:rsid w:val="00663692"/>
    <w:rsid w:val="00691462"/>
    <w:rsid w:val="00693948"/>
    <w:rsid w:val="006A4B80"/>
    <w:rsid w:val="006B7A96"/>
    <w:rsid w:val="006D091C"/>
    <w:rsid w:val="006F073C"/>
    <w:rsid w:val="007133A8"/>
    <w:rsid w:val="00784193"/>
    <w:rsid w:val="007B0D45"/>
    <w:rsid w:val="007C5662"/>
    <w:rsid w:val="007E7741"/>
    <w:rsid w:val="008133CB"/>
    <w:rsid w:val="00867223"/>
    <w:rsid w:val="00883272"/>
    <w:rsid w:val="008A1751"/>
    <w:rsid w:val="008A588A"/>
    <w:rsid w:val="008D3547"/>
    <w:rsid w:val="008E6577"/>
    <w:rsid w:val="008E6F49"/>
    <w:rsid w:val="008E7CD6"/>
    <w:rsid w:val="00911860"/>
    <w:rsid w:val="00935211"/>
    <w:rsid w:val="0094288C"/>
    <w:rsid w:val="0094371E"/>
    <w:rsid w:val="00947D2E"/>
    <w:rsid w:val="0095229A"/>
    <w:rsid w:val="009535AE"/>
    <w:rsid w:val="00960432"/>
    <w:rsid w:val="00991C63"/>
    <w:rsid w:val="009C53E0"/>
    <w:rsid w:val="009D640C"/>
    <w:rsid w:val="009D7FAF"/>
    <w:rsid w:val="00A05EC6"/>
    <w:rsid w:val="00A17FF6"/>
    <w:rsid w:val="00A67F41"/>
    <w:rsid w:val="00A77EA9"/>
    <w:rsid w:val="00A9460D"/>
    <w:rsid w:val="00AB3E57"/>
    <w:rsid w:val="00AC6115"/>
    <w:rsid w:val="00AE03A5"/>
    <w:rsid w:val="00AF0580"/>
    <w:rsid w:val="00B04A9A"/>
    <w:rsid w:val="00B22BEC"/>
    <w:rsid w:val="00B250CA"/>
    <w:rsid w:val="00B66E2A"/>
    <w:rsid w:val="00B81A65"/>
    <w:rsid w:val="00B8768B"/>
    <w:rsid w:val="00B91694"/>
    <w:rsid w:val="00B91BEA"/>
    <w:rsid w:val="00B92573"/>
    <w:rsid w:val="00B957C3"/>
    <w:rsid w:val="00BA5168"/>
    <w:rsid w:val="00BB5D5A"/>
    <w:rsid w:val="00BC67BF"/>
    <w:rsid w:val="00BD1004"/>
    <w:rsid w:val="00BE0EBA"/>
    <w:rsid w:val="00BE1EB9"/>
    <w:rsid w:val="00BF08BF"/>
    <w:rsid w:val="00C133C0"/>
    <w:rsid w:val="00C26273"/>
    <w:rsid w:val="00C40398"/>
    <w:rsid w:val="00CA1556"/>
    <w:rsid w:val="00CA399D"/>
    <w:rsid w:val="00CF074E"/>
    <w:rsid w:val="00CF1D24"/>
    <w:rsid w:val="00CF2398"/>
    <w:rsid w:val="00CF4362"/>
    <w:rsid w:val="00D033DF"/>
    <w:rsid w:val="00D96E63"/>
    <w:rsid w:val="00DB5DE7"/>
    <w:rsid w:val="00DD1D0C"/>
    <w:rsid w:val="00DD240B"/>
    <w:rsid w:val="00DE3FFF"/>
    <w:rsid w:val="00DF3B6A"/>
    <w:rsid w:val="00E04052"/>
    <w:rsid w:val="00EB5919"/>
    <w:rsid w:val="00F00DEB"/>
    <w:rsid w:val="00F1627A"/>
    <w:rsid w:val="00F4668B"/>
    <w:rsid w:val="00F5133E"/>
    <w:rsid w:val="00FA717E"/>
    <w:rsid w:val="00FB5829"/>
    <w:rsid w:val="00FB7228"/>
    <w:rsid w:val="00FD0A3E"/>
    <w:rsid w:val="00FE5E00"/>
    <w:rsid w:val="00FF71C9"/>
  </w:rsids>
  <m:mathPr>
    <m:mathFont m:val="Cambria Math"/>
    <m:brkBin m:val="before"/>
    <m:brkBinSub m:val="--"/>
    <m:smallFrac m:val="off"/>
    <m:dispDef/>
    <m:lMargin m:val="0"/>
    <m:rMargin m:val="0"/>
    <m:defJc m:val="centerGroup"/>
    <m:wrapIndent m:val="1440"/>
    <m:intLim m:val="subSup"/>
    <m:naryLim m:val="undOvr"/>
  </m:mathPr>
  <w:uiCompat97To2003/>
  <w:themeFontLang w:val="en-I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IE" w:eastAsia="en-IE"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locked="1" w:uiPriority="0" w:qFormat="1"/>
    <w:lsdException w:name="footnote reference" w:uiPriority="0"/>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6273"/>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99"/>
    <w:qFormat/>
    <w:rsid w:val="00935211"/>
    <w:pPr>
      <w:pBdr>
        <w:bottom w:val="single" w:sz="8" w:space="4" w:color="4F81BD"/>
      </w:pBdr>
      <w:spacing w:after="300"/>
    </w:pPr>
    <w:rPr>
      <w:rFonts w:ascii="Cambria" w:hAnsi="Cambria" w:cs="Cambria"/>
      <w:color w:val="17365D"/>
      <w:spacing w:val="5"/>
      <w:kern w:val="28"/>
      <w:sz w:val="52"/>
      <w:szCs w:val="52"/>
    </w:rPr>
  </w:style>
  <w:style w:type="character" w:customStyle="1" w:styleId="TitleChar">
    <w:name w:val="Title Char"/>
    <w:basedOn w:val="DefaultParagraphFont"/>
    <w:link w:val="Title"/>
    <w:uiPriority w:val="99"/>
    <w:locked/>
    <w:rsid w:val="00935211"/>
    <w:rPr>
      <w:rFonts w:ascii="Cambria" w:hAnsi="Cambria" w:cs="Cambria"/>
      <w:color w:val="17365D"/>
      <w:spacing w:val="5"/>
      <w:kern w:val="28"/>
      <w:sz w:val="52"/>
      <w:szCs w:val="52"/>
      <w:lang w:val="en-GB" w:eastAsia="en-GB"/>
    </w:rPr>
  </w:style>
  <w:style w:type="paragraph" w:styleId="Subtitle">
    <w:name w:val="Subtitle"/>
    <w:basedOn w:val="Normal"/>
    <w:next w:val="Normal"/>
    <w:link w:val="SubtitleChar"/>
    <w:uiPriority w:val="99"/>
    <w:qFormat/>
    <w:rsid w:val="00935211"/>
    <w:pPr>
      <w:numPr>
        <w:ilvl w:val="1"/>
      </w:numPr>
    </w:pPr>
    <w:rPr>
      <w:rFonts w:ascii="Cambria" w:hAnsi="Cambria" w:cs="Cambria"/>
      <w:i/>
      <w:iCs/>
      <w:color w:val="4F81BD"/>
      <w:spacing w:val="15"/>
    </w:rPr>
  </w:style>
  <w:style w:type="character" w:customStyle="1" w:styleId="SubtitleChar">
    <w:name w:val="Subtitle Char"/>
    <w:basedOn w:val="DefaultParagraphFont"/>
    <w:link w:val="Subtitle"/>
    <w:uiPriority w:val="99"/>
    <w:locked/>
    <w:rsid w:val="00935211"/>
    <w:rPr>
      <w:rFonts w:ascii="Cambria" w:hAnsi="Cambria" w:cs="Cambria"/>
      <w:i/>
      <w:iCs/>
      <w:color w:val="4F81BD"/>
      <w:spacing w:val="15"/>
      <w:sz w:val="24"/>
      <w:szCs w:val="24"/>
      <w:lang w:val="en-GB" w:eastAsia="en-GB"/>
    </w:rPr>
  </w:style>
  <w:style w:type="paragraph" w:styleId="FootnoteText">
    <w:name w:val="footnote text"/>
    <w:basedOn w:val="Normal"/>
    <w:link w:val="FootnoteTextChar"/>
    <w:semiHidden/>
    <w:rsid w:val="00935211"/>
    <w:rPr>
      <w:sz w:val="20"/>
      <w:szCs w:val="20"/>
    </w:rPr>
  </w:style>
  <w:style w:type="character" w:customStyle="1" w:styleId="FootnoteTextChar">
    <w:name w:val="Footnote Text Char"/>
    <w:basedOn w:val="DefaultParagraphFont"/>
    <w:link w:val="FootnoteText"/>
    <w:locked/>
    <w:rsid w:val="00935211"/>
    <w:rPr>
      <w:lang w:val="en-GB" w:eastAsia="en-GB"/>
    </w:rPr>
  </w:style>
  <w:style w:type="character" w:styleId="FootnoteReference">
    <w:name w:val="footnote reference"/>
    <w:basedOn w:val="DefaultParagraphFont"/>
    <w:semiHidden/>
    <w:rsid w:val="00935211"/>
    <w:rPr>
      <w:vertAlign w:val="superscript"/>
    </w:rPr>
  </w:style>
  <w:style w:type="character" w:styleId="Hyperlink">
    <w:name w:val="Hyperlink"/>
    <w:basedOn w:val="DefaultParagraphFont"/>
    <w:uiPriority w:val="99"/>
    <w:rsid w:val="00935211"/>
    <w:rPr>
      <w:color w:val="0000FF"/>
      <w:u w:val="single"/>
    </w:rPr>
  </w:style>
  <w:style w:type="character" w:styleId="FollowedHyperlink">
    <w:name w:val="FollowedHyperlink"/>
    <w:basedOn w:val="DefaultParagraphFont"/>
    <w:uiPriority w:val="99"/>
    <w:semiHidden/>
    <w:unhideWhenUsed/>
    <w:rsid w:val="00B8768B"/>
    <w:rPr>
      <w:color w:val="800080"/>
      <w:u w:val="single"/>
    </w:rPr>
  </w:style>
  <w:style w:type="character" w:styleId="Emphasis">
    <w:name w:val="Emphasis"/>
    <w:basedOn w:val="DefaultParagraphFont"/>
    <w:uiPriority w:val="20"/>
    <w:qFormat/>
    <w:locked/>
    <w:rsid w:val="00A17FF6"/>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3" Type="http://schemas.openxmlformats.org/officeDocument/2006/relationships/hyperlink" Target="http://sblog.s3.amazonaws.com/wp-content/uploads/2011/01/Mohammed-dismissal-motion-1-6-111.pdf" TargetMode="External"/><Relationship Id="rId7" Type="http://schemas.openxmlformats.org/officeDocument/2006/relationships/hyperlink" Target="http://www.whitehouse.gov/sites/default/files/Executive_Order_on_Periodic_Review.pdf" TargetMode="External"/><Relationship Id="rId2" Type="http://schemas.openxmlformats.org/officeDocument/2006/relationships/hyperlink" Target="http://www.scotusblog.com/2011/01/one-detainee-case-over/" TargetMode="External"/><Relationship Id="rId1" Type="http://schemas.openxmlformats.org/officeDocument/2006/relationships/hyperlink" Target="http://www.whitehouse.gov/sites/default/files/Executive_Order_on_Periodic_Review.pdf" TargetMode="External"/><Relationship Id="rId6" Type="http://schemas.openxmlformats.org/officeDocument/2006/relationships/hyperlink" Target="http://www.whitehouse.gov/sites/default/files/Executive_Order_on_Periodic_Review.pdf" TargetMode="External"/><Relationship Id="rId5" Type="http://schemas.openxmlformats.org/officeDocument/2006/relationships/hyperlink" Target="http://www.justice.gov/ag/testimony/2009/ag-testimony-091118.html" TargetMode="External"/><Relationship Id="rId4" Type="http://schemas.openxmlformats.org/officeDocument/2006/relationships/hyperlink" Target="http://online.wsj.com/public/resources/documents/gitmoA072009.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E7A5FD-36B3-4F9A-9EC1-A08BCF542F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355</TotalTime>
  <Pages>14</Pages>
  <Words>4324</Words>
  <Characters>24653</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Guantánamo Bay: America’s Un-Closable Prison</vt:lpstr>
    </vt:vector>
  </TitlesOfParts>
  <Company>UCD</Company>
  <LinksUpToDate>false</LinksUpToDate>
  <CharactersWithSpaces>28920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Guantánamo Bay: America’s Un-Closable Prison</dc:title>
  <dc:creator>Fiona de Londras</dc:creator>
  <cp:lastModifiedBy>Fiona de Londras</cp:lastModifiedBy>
  <cp:revision>74</cp:revision>
  <cp:lastPrinted>2011-03-14T11:57:00Z</cp:lastPrinted>
  <dcterms:created xsi:type="dcterms:W3CDTF">2011-03-16T09:40:00Z</dcterms:created>
  <dcterms:modified xsi:type="dcterms:W3CDTF">2011-03-17T05:35:00Z</dcterms:modified>
</cp:coreProperties>
</file>